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4174" w:rsidRDefault="00164174" w:rsidP="00390CB7">
      <w:pPr>
        <w:keepNext/>
        <w:keepLines/>
        <w:pBdr>
          <w:top w:val="single" w:sz="8" w:space="1" w:color="788E1E"/>
          <w:left w:val="single" w:sz="48" w:space="18" w:color="004730"/>
        </w:pBdr>
        <w:shd w:val="clear" w:color="auto" w:fill="788E1E"/>
        <w:spacing w:after="120"/>
        <w:outlineLvl w:val="0"/>
        <w:rPr>
          <w:rFonts w:ascii="Gill Sans MT" w:eastAsia="Times New Roman" w:hAnsi="Gill Sans MT" w:cs="Times New Roman"/>
          <w:bCs/>
          <w:caps/>
          <w:color w:val="FFFFFF"/>
          <w:spacing w:val="20"/>
          <w:sz w:val="24"/>
          <w:szCs w:val="28"/>
        </w:rPr>
      </w:pPr>
      <w:bookmarkStart w:id="0" w:name="_Toc450287710"/>
      <w:bookmarkStart w:id="1" w:name="_GoBack"/>
      <w:bookmarkEnd w:id="1"/>
      <w:r w:rsidRPr="00083827">
        <w:rPr>
          <w:rFonts w:ascii="Gill Sans MT" w:eastAsia="Times New Roman" w:hAnsi="Gill Sans MT" w:cs="Times New Roman"/>
          <w:bCs/>
          <w:caps/>
          <w:color w:val="FFFFFF"/>
          <w:spacing w:val="20"/>
          <w:sz w:val="24"/>
          <w:szCs w:val="28"/>
        </w:rPr>
        <w:t xml:space="preserve">Technical </w:t>
      </w:r>
      <w:r w:rsidR="005B4DD8" w:rsidRPr="00083827">
        <w:rPr>
          <w:rFonts w:ascii="Gill Sans MT" w:eastAsia="Times New Roman" w:hAnsi="Gill Sans MT" w:cs="Times New Roman"/>
          <w:bCs/>
          <w:caps/>
          <w:color w:val="FFFFFF"/>
          <w:spacing w:val="20"/>
          <w:sz w:val="24"/>
          <w:szCs w:val="28"/>
        </w:rPr>
        <w:t>Brief:</w:t>
      </w:r>
      <w:r w:rsidRPr="00083827">
        <w:rPr>
          <w:rFonts w:ascii="Gill Sans MT" w:eastAsia="Times New Roman" w:hAnsi="Gill Sans MT" w:cs="Times New Roman"/>
          <w:bCs/>
          <w:caps/>
          <w:color w:val="FFFFFF"/>
          <w:spacing w:val="20"/>
          <w:sz w:val="24"/>
          <w:szCs w:val="28"/>
        </w:rPr>
        <w:t xml:space="preserve"> </w:t>
      </w:r>
      <w:bookmarkEnd w:id="0"/>
      <w:r w:rsidR="00231CCD">
        <w:rPr>
          <w:rFonts w:ascii="Gill Sans MT" w:eastAsia="Times New Roman" w:hAnsi="Gill Sans MT" w:cs="Times New Roman"/>
          <w:bCs/>
          <w:caps/>
          <w:color w:val="FFFFFF"/>
          <w:spacing w:val="20"/>
          <w:sz w:val="24"/>
          <w:szCs w:val="28"/>
        </w:rPr>
        <w:t xml:space="preserve">Community Health SErvices Costing and Planning </w:t>
      </w:r>
      <w:r w:rsidR="004D7A86">
        <w:rPr>
          <w:rFonts w:ascii="Gill Sans MT" w:eastAsia="Times New Roman" w:hAnsi="Gill Sans MT" w:cs="Times New Roman"/>
          <w:bCs/>
          <w:caps/>
          <w:color w:val="FFFFFF"/>
          <w:spacing w:val="20"/>
          <w:sz w:val="24"/>
          <w:szCs w:val="28"/>
        </w:rPr>
        <w:t xml:space="preserve">Pilot </w:t>
      </w:r>
      <w:r w:rsidR="00231CCD">
        <w:rPr>
          <w:rFonts w:ascii="Gill Sans MT" w:eastAsia="Times New Roman" w:hAnsi="Gill Sans MT" w:cs="Times New Roman"/>
          <w:bCs/>
          <w:caps/>
          <w:color w:val="FFFFFF"/>
          <w:spacing w:val="20"/>
          <w:sz w:val="24"/>
          <w:szCs w:val="28"/>
        </w:rPr>
        <w:t>in</w:t>
      </w:r>
      <w:r w:rsidR="00BC4EAC">
        <w:rPr>
          <w:rFonts w:ascii="Gill Sans MT" w:eastAsia="Times New Roman" w:hAnsi="Gill Sans MT" w:cs="Times New Roman"/>
          <w:bCs/>
          <w:caps/>
          <w:color w:val="FFFFFF"/>
          <w:spacing w:val="20"/>
          <w:sz w:val="24"/>
          <w:szCs w:val="28"/>
        </w:rPr>
        <w:t xml:space="preserve"> Malawi and</w:t>
      </w:r>
      <w:r w:rsidR="00231CCD">
        <w:rPr>
          <w:rFonts w:ascii="Gill Sans MT" w:eastAsia="Times New Roman" w:hAnsi="Gill Sans MT" w:cs="Times New Roman"/>
          <w:bCs/>
          <w:caps/>
          <w:color w:val="FFFFFF"/>
          <w:spacing w:val="20"/>
          <w:sz w:val="24"/>
          <w:szCs w:val="28"/>
        </w:rPr>
        <w:t xml:space="preserve"> Sierra leone</w:t>
      </w:r>
    </w:p>
    <w:p w:rsidR="004137F4" w:rsidRPr="00154EEF" w:rsidRDefault="004137F4" w:rsidP="00390CB7">
      <w:pPr>
        <w:keepNext/>
        <w:keepLines/>
        <w:pBdr>
          <w:top w:val="single" w:sz="8" w:space="1" w:color="788E1E"/>
          <w:left w:val="single" w:sz="48" w:space="18" w:color="004730"/>
        </w:pBdr>
        <w:shd w:val="clear" w:color="auto" w:fill="788E1E"/>
        <w:spacing w:after="120"/>
        <w:outlineLvl w:val="0"/>
        <w:rPr>
          <w:rFonts w:ascii="Gill Sans MT" w:eastAsia="Times New Roman" w:hAnsi="Gill Sans MT" w:cs="Times New Roman"/>
          <w:bCs/>
          <w:i/>
          <w:caps/>
          <w:color w:val="FFFFFF"/>
          <w:spacing w:val="20"/>
          <w:szCs w:val="28"/>
        </w:rPr>
      </w:pPr>
      <w:r>
        <w:rPr>
          <w:i/>
        </w:rPr>
        <w:t xml:space="preserve">Prepared for the HSR Symposium </w:t>
      </w:r>
      <w:r w:rsidR="00E322EE">
        <w:rPr>
          <w:i/>
        </w:rPr>
        <w:t xml:space="preserve">– Vancouver - November </w:t>
      </w:r>
      <w:r>
        <w:rPr>
          <w:i/>
        </w:rPr>
        <w:t>2016</w:t>
      </w:r>
    </w:p>
    <w:p w:rsidR="006C08CE" w:rsidRPr="00083827" w:rsidRDefault="00E14A3C" w:rsidP="006C08CE">
      <w:pPr>
        <w:pStyle w:val="Style1"/>
      </w:pPr>
      <w:r w:rsidRPr="00083827">
        <w:t>Background</w:t>
      </w:r>
      <w:r w:rsidR="00DB6C22">
        <w:t xml:space="preserve"> </w:t>
      </w:r>
    </w:p>
    <w:p w:rsidR="00DB6C22" w:rsidRDefault="00DB6C22" w:rsidP="00DB6C22">
      <w:pPr>
        <w:pStyle w:val="Heading2"/>
      </w:pPr>
      <w:r>
        <w:t xml:space="preserve">Costing of Community Health Services </w:t>
      </w:r>
    </w:p>
    <w:p w:rsidR="00DB6C22" w:rsidRDefault="00DB6C22" w:rsidP="00DB6C22">
      <w:r>
        <w:t xml:space="preserve">There is growing evidence on the benefits of community health services (CHS) as a key strategy to promote healthy behavior and improve access to high-impact maternal, newborn, and child health interventions from pregnancy to adolescence. Much less is known, however, of the financing needs for effective, comprehensive CHS and, without this information, programs are often under-funded and financially unsustainable. </w:t>
      </w:r>
    </w:p>
    <w:p w:rsidR="00DB6C22" w:rsidRDefault="00DB6C22" w:rsidP="00DB6C22"/>
    <w:p w:rsidR="00B6517D" w:rsidRDefault="00DB6C22" w:rsidP="00B6517D">
      <w:pPr>
        <w:rPr>
          <w:bCs/>
        </w:rPr>
      </w:pPr>
      <w:r>
        <w:t xml:space="preserve">Management Sciences for Health (MSH), through funding and technical contributions from the United Nations International Children's Emergency Fund (UNICEF), developed a methodology and tool to support </w:t>
      </w:r>
      <w:r w:rsidR="00340DFD">
        <w:t xml:space="preserve">countries in </w:t>
      </w:r>
      <w:r>
        <w:t>the planning and costing of</w:t>
      </w:r>
      <w:r w:rsidR="00340DFD">
        <w:t xml:space="preserve"> effective</w:t>
      </w:r>
      <w:r>
        <w:t xml:space="preserve"> CHS programs. MSH piloted this methodology and tool in Malawi and Sierra Leone</w:t>
      </w:r>
      <w:r w:rsidRPr="00DB6C22">
        <w:rPr>
          <w:bCs/>
        </w:rPr>
        <w:t xml:space="preserve"> with the understanding that the results could be beneficial</w:t>
      </w:r>
      <w:r w:rsidR="003D4329">
        <w:rPr>
          <w:bCs/>
        </w:rPr>
        <w:t xml:space="preserve"> in improving and expanding CHS</w:t>
      </w:r>
      <w:r w:rsidR="00BC4EAC">
        <w:rPr>
          <w:bCs/>
        </w:rPr>
        <w:t xml:space="preserve"> in both countries</w:t>
      </w:r>
      <w:r w:rsidR="00B6517D">
        <w:rPr>
          <w:bCs/>
        </w:rPr>
        <w:t xml:space="preserve"> as well as in </w:t>
      </w:r>
      <w:r w:rsidR="009F58A7">
        <w:rPr>
          <w:bCs/>
        </w:rPr>
        <w:t>c</w:t>
      </w:r>
      <w:r w:rsidR="00B6517D">
        <w:rPr>
          <w:bCs/>
        </w:rPr>
        <w:t xml:space="preserve">ountries seeking to </w:t>
      </w:r>
      <w:r w:rsidR="00340DFD">
        <w:rPr>
          <w:bCs/>
        </w:rPr>
        <w:t xml:space="preserve">develop or advance </w:t>
      </w:r>
      <w:r w:rsidR="00B6517D" w:rsidRPr="00B6517D">
        <w:rPr>
          <w:bCs/>
        </w:rPr>
        <w:t>comprehensive community health strategies.</w:t>
      </w:r>
    </w:p>
    <w:p w:rsidR="00231CCD" w:rsidRDefault="00354E80" w:rsidP="00E14A3C">
      <w:pPr>
        <w:pStyle w:val="Heading2"/>
      </w:pPr>
      <w:r>
        <w:t>Country Context</w:t>
      </w:r>
      <w:r w:rsidR="00BC4EAC">
        <w:t>s</w:t>
      </w:r>
      <w:r>
        <w:t xml:space="preserve"> </w:t>
      </w:r>
    </w:p>
    <w:p w:rsidR="008E2DBC" w:rsidRDefault="00D0720C" w:rsidP="008E2DBC">
      <w:r>
        <w:t>C</w:t>
      </w:r>
      <w:r w:rsidR="00BC4EAC">
        <w:t xml:space="preserve">ommunity health workers (CHWs) play an </w:t>
      </w:r>
      <w:r>
        <w:t>important</w:t>
      </w:r>
      <w:r w:rsidR="00BC4EAC">
        <w:t xml:space="preserve"> role in extending access to </w:t>
      </w:r>
      <w:r>
        <w:t xml:space="preserve">integrated </w:t>
      </w:r>
      <w:r w:rsidR="00BC4EAC">
        <w:t>health services</w:t>
      </w:r>
      <w:r>
        <w:t xml:space="preserve"> and addressing priority health areas including </w:t>
      </w:r>
      <w:r w:rsidRPr="00D0720C">
        <w:t>maternal</w:t>
      </w:r>
      <w:r w:rsidR="00AC46E2">
        <w:t xml:space="preserve">, newborn and </w:t>
      </w:r>
      <w:r w:rsidRPr="00D0720C">
        <w:t>child health</w:t>
      </w:r>
      <w:r w:rsidR="00AC46E2">
        <w:t xml:space="preserve"> (MNCH)</w:t>
      </w:r>
      <w:r w:rsidRPr="00D0720C">
        <w:t>; family planning and reproductive health; nutrition; and water,</w:t>
      </w:r>
      <w:r w:rsidR="009F58A7">
        <w:t xml:space="preserve"> sanitation, and hygiene (WASH); among </w:t>
      </w:r>
      <w:r w:rsidR="00340DFD">
        <w:t>other</w:t>
      </w:r>
      <w:r w:rsidR="00AC46E2">
        <w:t>s areas.</w:t>
      </w:r>
    </w:p>
    <w:p w:rsidR="00BC4EAC" w:rsidRDefault="00BC4EAC" w:rsidP="00BC4EAC"/>
    <w:p w:rsidR="00BC4EAC" w:rsidRDefault="00BC4EAC" w:rsidP="00BC4EAC">
      <w:r w:rsidRPr="00D0720C">
        <w:t>In Malawi,</w:t>
      </w:r>
      <w:r w:rsidR="00D0720C">
        <w:t xml:space="preserve"> Health Surveillance Assistants (HSAs) </w:t>
      </w:r>
      <w:r w:rsidR="00F842F1">
        <w:t xml:space="preserve">have served </w:t>
      </w:r>
      <w:r w:rsidR="001D45C5">
        <w:t>as</w:t>
      </w:r>
      <w:r w:rsidR="00236577">
        <w:t xml:space="preserve"> the link between health centers and communities</w:t>
      </w:r>
      <w:r w:rsidR="00F842F1">
        <w:t xml:space="preserve"> and have represented</w:t>
      </w:r>
      <w:r w:rsidR="001D45C5">
        <w:t xml:space="preserve"> a key </w:t>
      </w:r>
      <w:r w:rsidR="009F58A7">
        <w:t>component</w:t>
      </w:r>
      <w:r w:rsidR="001D45C5">
        <w:t xml:space="preserve"> of the</w:t>
      </w:r>
      <w:r w:rsidR="00AC46E2">
        <w:t xml:space="preserve"> Ministry of Health’s (MOH) </w:t>
      </w:r>
      <w:r w:rsidR="001D45C5">
        <w:t>Child Health Strategy (2014-2020)</w:t>
      </w:r>
      <w:r w:rsidR="00236577">
        <w:t>. Initially trained to provide childhood immunizations, the role of HSAs has been expanded to include a range of promotional, preventive, and curative</w:t>
      </w:r>
      <w:r w:rsidR="00D0720C">
        <w:t xml:space="preserve"> services</w:t>
      </w:r>
      <w:r w:rsidR="00236577">
        <w:t xml:space="preserve"> </w:t>
      </w:r>
      <w:r w:rsidR="009F58A7">
        <w:t>ranging from</w:t>
      </w:r>
      <w:r w:rsidR="00236577">
        <w:t xml:space="preserve"> ante-natal and post-natal visits, integrated community case management (iCCM), and TB screening, among others. </w:t>
      </w:r>
      <w:r w:rsidR="001D45C5">
        <w:t>Situated eight km from health facilities, HSAs are critical to reaching the 86.2 percent of the</w:t>
      </w:r>
      <w:r w:rsidR="00F842F1">
        <w:t xml:space="preserve"> country’s</w:t>
      </w:r>
      <w:r w:rsidR="001D45C5">
        <w:t xml:space="preserve"> population living in rural areas. </w:t>
      </w:r>
    </w:p>
    <w:p w:rsidR="001D45C5" w:rsidRDefault="001D45C5" w:rsidP="00BC4EAC"/>
    <w:p w:rsidR="00FA3A23" w:rsidRDefault="00BC4EAC" w:rsidP="00FA3A23">
      <w:r>
        <w:t xml:space="preserve">In Sierra Leone, </w:t>
      </w:r>
      <w:r w:rsidR="00E00DE0">
        <w:t>f</w:t>
      </w:r>
      <w:r>
        <w:t xml:space="preserve">ollowing the Ebola virus disease </w:t>
      </w:r>
      <w:r w:rsidR="00EA57DA">
        <w:t xml:space="preserve">(EVD) </w:t>
      </w:r>
      <w:r>
        <w:t xml:space="preserve">outbreak, the Ministry of Health and Sanitation </w:t>
      </w:r>
      <w:r w:rsidR="00A96F30">
        <w:t xml:space="preserve">(MOHS) </w:t>
      </w:r>
      <w:r w:rsidR="001D45C5">
        <w:t>revised its</w:t>
      </w:r>
      <w:r w:rsidR="00063A17">
        <w:t xml:space="preserve"> </w:t>
      </w:r>
      <w:r w:rsidR="00063A17" w:rsidRPr="00063A17">
        <w:t xml:space="preserve">National CHW </w:t>
      </w:r>
      <w:r w:rsidR="00063A17">
        <w:t xml:space="preserve">Policy </w:t>
      </w:r>
      <w:r w:rsidR="001D45C5">
        <w:t>to expand the package of</w:t>
      </w:r>
      <w:r w:rsidR="0082649C">
        <w:t xml:space="preserve"> CHS</w:t>
      </w:r>
      <w:r w:rsidR="001D45C5">
        <w:t xml:space="preserve"> to </w:t>
      </w:r>
      <w:r w:rsidR="00FA3A23">
        <w:t xml:space="preserve">all rural and urban </w:t>
      </w:r>
      <w:r w:rsidR="00FA3A23" w:rsidRPr="00063A17">
        <w:t>communities</w:t>
      </w:r>
      <w:r w:rsidR="001D45C5">
        <w:t xml:space="preserve">. </w:t>
      </w:r>
      <w:r w:rsidR="00340DFD">
        <w:t>Set to be implemented in 2016, the revised policy will vastly increase the number of trained</w:t>
      </w:r>
      <w:r w:rsidR="00F842F1">
        <w:t xml:space="preserve"> </w:t>
      </w:r>
      <w:r w:rsidR="001D45C5">
        <w:t xml:space="preserve">CHWs </w:t>
      </w:r>
      <w:r w:rsidR="00340DFD">
        <w:t xml:space="preserve">and introduce a number of </w:t>
      </w:r>
      <w:r w:rsidR="00FA3A23">
        <w:t>new services</w:t>
      </w:r>
      <w:r w:rsidR="00FA3A23" w:rsidRPr="00FA3A23">
        <w:t xml:space="preserve"> including </w:t>
      </w:r>
      <w:r w:rsidR="00340DFD">
        <w:t xml:space="preserve">the </w:t>
      </w:r>
      <w:r w:rsidR="00FA3A23" w:rsidRPr="00FA3A23">
        <w:t>intermittent preventive</w:t>
      </w:r>
      <w:r w:rsidR="00AC46E2">
        <w:t xml:space="preserve"> malaria</w:t>
      </w:r>
      <w:r w:rsidR="00FA3A23" w:rsidRPr="00FA3A23">
        <w:t xml:space="preserve"> therapy (IPTp</w:t>
      </w:r>
      <w:r w:rsidR="00FA3A23">
        <w:t>)</w:t>
      </w:r>
      <w:r w:rsidR="00AC46E2">
        <w:t xml:space="preserve"> for pregnant women</w:t>
      </w:r>
      <w:r w:rsidR="00FA3A23" w:rsidRPr="00FA3A23">
        <w:t xml:space="preserve">; male condom distribution and refills of oral contraceptives; malaria case management services for adults; </w:t>
      </w:r>
      <w:r w:rsidR="001D45C5">
        <w:t>nutrition services;</w:t>
      </w:r>
      <w:r w:rsidR="00FA3A23">
        <w:t xml:space="preserve"> and </w:t>
      </w:r>
      <w:r w:rsidR="00FA3A23" w:rsidRPr="00FA3A23">
        <w:t>integrated</w:t>
      </w:r>
      <w:r w:rsidR="00FA3A23">
        <w:t xml:space="preserve"> disease surveillance reporting, among others. </w:t>
      </w:r>
      <w:r w:rsidR="00F842F1">
        <w:t>In addition, t</w:t>
      </w:r>
      <w:r w:rsidR="0062388B">
        <w:t xml:space="preserve">he new </w:t>
      </w:r>
      <w:r w:rsidR="00AC46E2">
        <w:t xml:space="preserve">CHW </w:t>
      </w:r>
      <w:r w:rsidR="0062388B">
        <w:t xml:space="preserve">policy places </w:t>
      </w:r>
      <w:r w:rsidR="00EC7A0E">
        <w:t>greater</w:t>
      </w:r>
      <w:r w:rsidR="00EC7A0E" w:rsidRPr="00342050">
        <w:t xml:space="preserve"> emphasis on CHW</w:t>
      </w:r>
      <w:r w:rsidR="0062388B">
        <w:t xml:space="preserve"> training and supervision </w:t>
      </w:r>
      <w:r w:rsidR="001D45C5">
        <w:t>and</w:t>
      </w:r>
      <w:r w:rsidR="00F842F1">
        <w:t xml:space="preserve"> stipulates increased</w:t>
      </w:r>
      <w:r w:rsidR="00EC7A0E" w:rsidRPr="00342050">
        <w:t xml:space="preserve"> financial incentives </w:t>
      </w:r>
      <w:r w:rsidR="00F842F1">
        <w:t>for</w:t>
      </w:r>
      <w:r w:rsidR="00EC7A0E" w:rsidRPr="00342050">
        <w:t xml:space="preserve"> CHWs, Peer Supervisors, and program support personnel. </w:t>
      </w:r>
    </w:p>
    <w:p w:rsidR="00F842F1" w:rsidRDefault="004137F4" w:rsidP="00FA3A23">
      <w:r w:rsidRPr="009C2C4F">
        <w:rPr>
          <w:b/>
          <w:noProof/>
          <w:sz w:val="52"/>
          <w:szCs w:val="52"/>
        </w:rPr>
        <w:drawing>
          <wp:anchor distT="0" distB="0" distL="114300" distR="114300" simplePos="0" relativeHeight="251663360" behindDoc="0" locked="0" layoutInCell="1" allowOverlap="1" wp14:anchorId="07AC2B27" wp14:editId="73002FE3">
            <wp:simplePos x="0" y="0"/>
            <wp:positionH relativeFrom="column">
              <wp:posOffset>3065145</wp:posOffset>
            </wp:positionH>
            <wp:positionV relativeFrom="paragraph">
              <wp:posOffset>128905</wp:posOffset>
            </wp:positionV>
            <wp:extent cx="1432560" cy="628015"/>
            <wp:effectExtent l="0" t="0" r="0" b="63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2560" cy="628015"/>
                    </a:xfrm>
                    <a:prstGeom prst="rect">
                      <a:avLst/>
                    </a:prstGeom>
                    <a:noFill/>
                  </pic:spPr>
                </pic:pic>
              </a:graphicData>
            </a:graphic>
            <wp14:sizeRelH relativeFrom="page">
              <wp14:pctWidth>0</wp14:pctWidth>
            </wp14:sizeRelH>
            <wp14:sizeRelV relativeFrom="page">
              <wp14:pctHeight>0</wp14:pctHeight>
            </wp14:sizeRelV>
          </wp:anchor>
        </w:drawing>
      </w:r>
    </w:p>
    <w:p w:rsidR="004137F4" w:rsidRDefault="00154EEF" w:rsidP="00FA3A23">
      <w:r w:rsidRPr="00E06313">
        <w:rPr>
          <w:rFonts w:cstheme="minorHAnsi"/>
          <w:b/>
          <w:noProof/>
        </w:rPr>
        <mc:AlternateContent>
          <mc:Choice Requires="wps">
            <w:drawing>
              <wp:anchor distT="0" distB="0" distL="114300" distR="114300" simplePos="0" relativeHeight="251661312" behindDoc="0" locked="0" layoutInCell="1" allowOverlap="1" wp14:anchorId="2D06322D" wp14:editId="61BFC6AE">
                <wp:simplePos x="0" y="0"/>
                <wp:positionH relativeFrom="column">
                  <wp:posOffset>711702</wp:posOffset>
                </wp:positionH>
                <wp:positionV relativeFrom="paragraph">
                  <wp:posOffset>379095</wp:posOffset>
                </wp:positionV>
                <wp:extent cx="2209800" cy="338455"/>
                <wp:effectExtent l="0" t="0" r="0" b="0"/>
                <wp:wrapNone/>
                <wp:docPr id="11" name="TextBox 10"/>
                <wp:cNvGraphicFramePr/>
                <a:graphic xmlns:a="http://schemas.openxmlformats.org/drawingml/2006/main">
                  <a:graphicData uri="http://schemas.microsoft.com/office/word/2010/wordprocessingShape">
                    <wps:wsp>
                      <wps:cNvSpPr txBox="1"/>
                      <wps:spPr>
                        <a:xfrm>
                          <a:off x="0" y="0"/>
                          <a:ext cx="2209800" cy="338455"/>
                        </a:xfrm>
                        <a:prstGeom prst="rect">
                          <a:avLst/>
                        </a:prstGeom>
                        <a:noFill/>
                      </wps:spPr>
                      <wps:txbx>
                        <w:txbxContent>
                          <w:p w:rsidR="004137F4" w:rsidRDefault="004137F4" w:rsidP="004137F4">
                            <w:pPr>
                              <w:pStyle w:val="NormalWeb"/>
                              <w:spacing w:before="0" w:beforeAutospacing="0" w:after="0" w:afterAutospacing="0"/>
                            </w:pPr>
                            <w:r>
                              <w:rPr>
                                <w:rFonts w:asciiTheme="minorHAnsi" w:hAnsi="Calibri" w:cstheme="minorBidi"/>
                                <w:color w:val="1BA4D5"/>
                                <w:kern w:val="24"/>
                                <w:sz w:val="32"/>
                                <w:szCs w:val="32"/>
                              </w:rPr>
                              <w:t>unite for children</w:t>
                            </w:r>
                          </w:p>
                        </w:txbxContent>
                      </wps:txbx>
                      <wps:bodyPr wrap="square" rtlCol="0">
                        <a:spAutoFit/>
                      </wps:bodyPr>
                    </wps:wsp>
                  </a:graphicData>
                </a:graphic>
              </wp:anchor>
            </w:drawing>
          </mc:Choice>
          <mc:Fallback>
            <w:pict>
              <v:shapetype id="_x0000_t202" coordsize="21600,21600" o:spt="202" path="m,l,21600r21600,l21600,xe">
                <v:stroke joinstyle="miter"/>
                <v:path gradientshapeok="t" o:connecttype="rect"/>
              </v:shapetype>
              <v:shape id="TextBox 10" o:spid="_x0000_s1026" type="#_x0000_t202" style="position:absolute;margin-left:56.05pt;margin-top:29.85pt;width:174pt;height:26.6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" filled="f" stroked="f">
                <v:textbox style="mso-fit-shape-to-text:t">
                  <w:txbxContent>
                    <w:p w:rsidR="004137F4" w:rsidRDefault="004137F4" w:rsidP="004137F4">
                      <w:pPr>
                        <w:pStyle w:val="NormalWeb"/>
                        <w:spacing w:before="0" w:beforeAutospacing="0" w:after="0" w:afterAutospacing="0"/>
                      </w:pPr>
                      <w:r>
                        <w:rPr>
                          <w:rFonts w:asciiTheme="minorHAnsi" w:hAnsi="Calibri" w:cstheme="minorBidi"/>
                          <w:color w:val="1BA4D5"/>
                          <w:kern w:val="24"/>
                          <w:sz w:val="32"/>
                          <w:szCs w:val="32"/>
                        </w:rPr>
                        <w:t>unite for children</w:t>
                      </w:r>
                    </w:p>
                  </w:txbxContent>
                </v:textbox>
              </v:shape>
            </w:pict>
          </mc:Fallback>
        </mc:AlternateContent>
      </w:r>
      <w:r w:rsidRPr="00E06313">
        <w:rPr>
          <w:rFonts w:cstheme="minorHAnsi"/>
          <w:b/>
          <w:noProof/>
        </w:rPr>
        <w:drawing>
          <wp:anchor distT="0" distB="0" distL="114300" distR="114300" simplePos="0" relativeHeight="251659264" behindDoc="0" locked="0" layoutInCell="1" allowOverlap="1" wp14:anchorId="1B47EBB2" wp14:editId="3129D612">
            <wp:simplePos x="0" y="0"/>
            <wp:positionH relativeFrom="column">
              <wp:posOffset>790974</wp:posOffset>
            </wp:positionH>
            <wp:positionV relativeFrom="paragraph">
              <wp:posOffset>21241</wp:posOffset>
            </wp:positionV>
            <wp:extent cx="1562100" cy="381000"/>
            <wp:effectExtent l="0" t="0" r="0" b="0"/>
            <wp:wrapNone/>
            <wp:docPr id="2" name="Picture 9" descr="UNICEF logo_blue"/>
            <wp:cNvGraphicFramePr/>
            <a:graphic xmlns:a="http://schemas.openxmlformats.org/drawingml/2006/main">
              <a:graphicData uri="http://schemas.openxmlformats.org/drawingml/2006/picture">
                <pic:pic xmlns:pic="http://schemas.openxmlformats.org/drawingml/2006/picture">
                  <pic:nvPicPr>
                    <pic:cNvPr id="10" name="Picture 9" descr="UNICEF logo_blue"/>
                    <pic:cNvPicPr/>
                  </pic:nvPicPr>
                  <pic:blipFill>
                    <a:blip r:embed="rId10" cstate="print">
                      <a:extLst>
                        <a:ext uri="{BEBA8EAE-BF5A-486C-A8C5-ECC9F3942E4B}">
                          <a14:imgProps xmlns:a14="http://schemas.microsoft.com/office/drawing/2010/main">
                            <a14:imgLayer r:embed="rId11">
                              <a14:imgEffect>
                                <a14:colorTemperature colorTemp="10700"/>
                              </a14:imgEffect>
                              <a14:imgEffect>
                                <a14:saturation sat="311000"/>
                              </a14:imgEffect>
                            </a14:imgLayer>
                          </a14:imgProps>
                        </a:ext>
                        <a:ext uri="{28A0092B-C50C-407E-A947-70E740481C1C}">
                          <a14:useLocalDpi xmlns:a14="http://schemas.microsoft.com/office/drawing/2010/main" val="0"/>
                        </a:ext>
                      </a:extLst>
                    </a:blip>
                    <a:srcRect/>
                    <a:stretch>
                      <a:fillRect/>
                    </a:stretch>
                  </pic:blipFill>
                  <pic:spPr bwMode="auto">
                    <a:xfrm>
                      <a:off x="0" y="0"/>
                      <a:ext cx="1562100" cy="381000"/>
                    </a:xfrm>
                    <a:prstGeom prst="rect">
                      <a:avLst/>
                    </a:prstGeom>
                    <a:noFill/>
                    <a:ln>
                      <a:noFill/>
                    </a:ln>
                  </pic:spPr>
                </pic:pic>
              </a:graphicData>
            </a:graphic>
          </wp:anchor>
        </w:drawing>
      </w:r>
    </w:p>
    <w:p w:rsidR="00231CCD" w:rsidRPr="00083827" w:rsidRDefault="00231CCD" w:rsidP="00231CCD">
      <w:pPr>
        <w:pStyle w:val="Style1"/>
      </w:pPr>
      <w:r>
        <w:lastRenderedPageBreak/>
        <w:t>Methodology</w:t>
      </w:r>
    </w:p>
    <w:p w:rsidR="00F364FB" w:rsidRDefault="00BD61CD" w:rsidP="00F364FB">
      <w:pPr>
        <w:pStyle w:val="Heading2"/>
      </w:pPr>
      <w:r>
        <w:t xml:space="preserve">Development of </w:t>
      </w:r>
      <w:r w:rsidR="00910694">
        <w:t xml:space="preserve">Community Health </w:t>
      </w:r>
      <w:r w:rsidR="00E00DE0">
        <w:t>Planning and Costing</w:t>
      </w:r>
      <w:r w:rsidR="00910694">
        <w:t xml:space="preserve"> </w:t>
      </w:r>
      <w:r w:rsidR="00260CCB">
        <w:t xml:space="preserve">Methodology and </w:t>
      </w:r>
      <w:r w:rsidR="00ED323B">
        <w:t>Tool</w:t>
      </w:r>
      <w:r w:rsidR="0082649C">
        <w:t xml:space="preserve"> </w:t>
      </w:r>
    </w:p>
    <w:p w:rsidR="00F364FB" w:rsidRDefault="008E2DBC" w:rsidP="00ED323B">
      <w:r>
        <w:t>T</w:t>
      </w:r>
      <w:r w:rsidR="00ED323B">
        <w:t xml:space="preserve">he </w:t>
      </w:r>
      <w:r w:rsidR="00ED323B" w:rsidRPr="008E2DBC">
        <w:rPr>
          <w:i/>
        </w:rPr>
        <w:t xml:space="preserve">CHS Planning and Costing </w:t>
      </w:r>
      <w:r>
        <w:rPr>
          <w:i/>
        </w:rPr>
        <w:t xml:space="preserve">Methodology and </w:t>
      </w:r>
      <w:r w:rsidR="00ED323B" w:rsidRPr="008E2DBC">
        <w:rPr>
          <w:i/>
        </w:rPr>
        <w:t>Tool</w:t>
      </w:r>
      <w:r w:rsidR="00ED323B">
        <w:t xml:space="preserve"> </w:t>
      </w:r>
      <w:r w:rsidR="008C1D04">
        <w:t>is</w:t>
      </w:r>
      <w:r>
        <w:t xml:space="preserve"> </w:t>
      </w:r>
      <w:r w:rsidR="00ED323B">
        <w:t xml:space="preserve">designed </w:t>
      </w:r>
      <w:r w:rsidRPr="008E2DBC">
        <w:t>to help program managers develop effective, sustainable, and comprehensive community health programs.</w:t>
      </w:r>
      <w:r>
        <w:t xml:space="preserve"> </w:t>
      </w:r>
      <w:r w:rsidRPr="008E2DBC">
        <w:t xml:space="preserve">Based on inputs provided by the user, the tool </w:t>
      </w:r>
      <w:r w:rsidR="00AE74CB">
        <w:t>c</w:t>
      </w:r>
      <w:r w:rsidRPr="008E2DBC">
        <w:t>alculate</w:t>
      </w:r>
      <w:r w:rsidR="00AE74CB">
        <w:t>s</w:t>
      </w:r>
      <w:r w:rsidRPr="008E2DBC">
        <w:t xml:space="preserve"> key results on the</w:t>
      </w:r>
      <w:r w:rsidR="00340DFD">
        <w:t xml:space="preserve"> costs and required financing for </w:t>
      </w:r>
      <w:r>
        <w:t xml:space="preserve">the </w:t>
      </w:r>
      <w:r w:rsidR="00ED323B">
        <w:t>introduction, maintenance, or scale-up of comprehensive CHS programs at the national or sub-national levels.</w:t>
      </w:r>
      <w:r w:rsidR="00AE74CB">
        <w:t xml:space="preserve"> MSH finalized the tool and methodology based on the pilots conducted </w:t>
      </w:r>
      <w:r w:rsidR="00490093">
        <w:t xml:space="preserve">in both countries </w:t>
      </w:r>
      <w:r w:rsidR="00AE74CB">
        <w:t>and feedback received from UNICEF and in-country partners.</w:t>
      </w:r>
    </w:p>
    <w:p w:rsidR="00E00DE0" w:rsidRDefault="00E00DE0" w:rsidP="00ED323B"/>
    <w:p w:rsidR="00E00DE0" w:rsidRPr="005A5E22" w:rsidRDefault="00AC46E2" w:rsidP="005A5E22">
      <w:pPr>
        <w:shd w:val="clear" w:color="auto" w:fill="D9D9D9" w:themeFill="background1" w:themeFillShade="D9"/>
      </w:pPr>
      <w:r w:rsidRPr="005A5E22">
        <w:rPr>
          <w:b/>
        </w:rPr>
        <w:t>Text B</w:t>
      </w:r>
      <w:r w:rsidR="00E00DE0" w:rsidRPr="005A5E22">
        <w:rPr>
          <w:b/>
        </w:rPr>
        <w:t>ox: The</w:t>
      </w:r>
      <w:r w:rsidR="0082649C" w:rsidRPr="005A5E22">
        <w:t xml:space="preserve"> </w:t>
      </w:r>
      <w:r w:rsidR="0082649C" w:rsidRPr="005A5E22">
        <w:rPr>
          <w:b/>
        </w:rPr>
        <w:t>CHS</w:t>
      </w:r>
      <w:r w:rsidR="00E00DE0" w:rsidRPr="005A5E22">
        <w:rPr>
          <w:b/>
        </w:rPr>
        <w:t xml:space="preserve"> Planning and Costing Tool </w:t>
      </w:r>
      <w:r w:rsidR="00E00DE0" w:rsidRPr="005A5E22">
        <w:t xml:space="preserve">calculates the costs and required financing for all fundamental elements of a community health program including start-up costs, service delivery, training, supervision, and management. The tool automatically produces the following key results to facilitate program planning and sustainability: </w:t>
      </w:r>
    </w:p>
    <w:p w:rsidR="00E00DE0" w:rsidRPr="005A5E22" w:rsidRDefault="00E00DE0" w:rsidP="005A5E22">
      <w:pPr>
        <w:pStyle w:val="ListParagraph"/>
        <w:numPr>
          <w:ilvl w:val="0"/>
          <w:numId w:val="10"/>
        </w:numPr>
        <w:shd w:val="clear" w:color="auto" w:fill="D9D9D9" w:themeFill="background1" w:themeFillShade="D9"/>
      </w:pPr>
      <w:r w:rsidRPr="005A5E22">
        <w:t>Total program costs for baseline year and ten-year projections;</w:t>
      </w:r>
    </w:p>
    <w:p w:rsidR="00E00DE0" w:rsidRPr="005A5E22" w:rsidRDefault="00E00DE0" w:rsidP="005A5E22">
      <w:pPr>
        <w:pStyle w:val="ListParagraph"/>
        <w:numPr>
          <w:ilvl w:val="0"/>
          <w:numId w:val="10"/>
        </w:numPr>
        <w:shd w:val="clear" w:color="auto" w:fill="D9D9D9" w:themeFill="background1" w:themeFillShade="D9"/>
      </w:pPr>
      <w:r w:rsidRPr="005A5E22">
        <w:t>Costs per capita, per CHW, per contact, per program, and per resource type;</w:t>
      </w:r>
    </w:p>
    <w:p w:rsidR="00E00DE0" w:rsidRPr="005A5E22" w:rsidRDefault="00482A40" w:rsidP="005A5E22">
      <w:pPr>
        <w:pStyle w:val="ListParagraph"/>
        <w:numPr>
          <w:ilvl w:val="0"/>
          <w:numId w:val="10"/>
        </w:numPr>
        <w:shd w:val="clear" w:color="auto" w:fill="D9D9D9" w:themeFill="background1" w:themeFillShade="D9"/>
      </w:pPr>
      <w:r w:rsidRPr="005A5E22">
        <w:t xml:space="preserve">Incremental costs and </w:t>
      </w:r>
      <w:r w:rsidR="00E00DE0" w:rsidRPr="005A5E22">
        <w:t>financing (start-up and recurrent);</w:t>
      </w:r>
    </w:p>
    <w:p w:rsidR="00E00DE0" w:rsidRPr="005A5E22" w:rsidRDefault="00E00DE0" w:rsidP="005A5E22">
      <w:pPr>
        <w:pStyle w:val="ListParagraph"/>
        <w:numPr>
          <w:ilvl w:val="0"/>
          <w:numId w:val="10"/>
        </w:numPr>
        <w:shd w:val="clear" w:color="auto" w:fill="D9D9D9" w:themeFill="background1" w:themeFillShade="D9"/>
      </w:pPr>
      <w:r w:rsidRPr="005A5E22">
        <w:t>Key drivers of costs and cost categories as a percent of total costs; and</w:t>
      </w:r>
    </w:p>
    <w:p w:rsidR="00E00DE0" w:rsidRPr="005A5E22" w:rsidRDefault="00E00DE0" w:rsidP="005A5E22">
      <w:pPr>
        <w:pStyle w:val="ListParagraph"/>
        <w:numPr>
          <w:ilvl w:val="0"/>
          <w:numId w:val="10"/>
        </w:numPr>
        <w:shd w:val="clear" w:color="auto" w:fill="D9D9D9" w:themeFill="background1" w:themeFillShade="D9"/>
      </w:pPr>
      <w:r w:rsidRPr="005A5E22">
        <w:t xml:space="preserve">Ten-year projections of financing </w:t>
      </w:r>
      <w:r w:rsidR="00482A40" w:rsidRPr="005A5E22">
        <w:t xml:space="preserve">(and financial gaps) </w:t>
      </w:r>
      <w:r w:rsidRPr="005A5E22">
        <w:t>with sources of funding.</w:t>
      </w:r>
    </w:p>
    <w:p w:rsidR="00F364FB" w:rsidRDefault="00DD6C39" w:rsidP="00F364FB">
      <w:pPr>
        <w:pStyle w:val="Heading2"/>
      </w:pPr>
      <w:r>
        <w:t>Data Collection</w:t>
      </w:r>
    </w:p>
    <w:p w:rsidR="00AC46E2" w:rsidRDefault="00AE74CB" w:rsidP="00A1795C">
      <w:r>
        <w:t xml:space="preserve">In February and March 2016, </w:t>
      </w:r>
      <w:r w:rsidR="00910694">
        <w:t xml:space="preserve">MSH conducted </w:t>
      </w:r>
      <w:r>
        <w:t>three-</w:t>
      </w:r>
      <w:r w:rsidR="00996542">
        <w:t xml:space="preserve">week </w:t>
      </w:r>
      <w:r w:rsidR="00FA3A23">
        <w:t xml:space="preserve">visits in each country </w:t>
      </w:r>
      <w:r w:rsidR="00996542">
        <w:t xml:space="preserve">to </w:t>
      </w:r>
      <w:r w:rsidR="00910694">
        <w:t>pilot</w:t>
      </w:r>
      <w:r w:rsidR="00996542">
        <w:t xml:space="preserve"> </w:t>
      </w:r>
      <w:r w:rsidR="00910694">
        <w:t xml:space="preserve">the methodology and tool </w:t>
      </w:r>
      <w:r w:rsidR="00996542">
        <w:t xml:space="preserve">and collect </w:t>
      </w:r>
      <w:r>
        <w:t xml:space="preserve">the required </w:t>
      </w:r>
      <w:r w:rsidR="00996542">
        <w:t xml:space="preserve">data </w:t>
      </w:r>
      <w:r w:rsidR="00CE6BA7">
        <w:t xml:space="preserve">for the analysis. </w:t>
      </w:r>
      <w:r w:rsidR="00FA3A23">
        <w:t>D</w:t>
      </w:r>
      <w:r w:rsidR="00CE6BA7">
        <w:t>ue to</w:t>
      </w:r>
      <w:r w:rsidR="00CE6BA7" w:rsidRPr="00CE6BA7">
        <w:t xml:space="preserve"> </w:t>
      </w:r>
      <w:r w:rsidR="00DD6C39">
        <w:t xml:space="preserve">limited </w:t>
      </w:r>
      <w:r w:rsidR="00CE6BA7" w:rsidRPr="00CE6BA7">
        <w:t>time and re</w:t>
      </w:r>
      <w:r w:rsidR="00CE6BA7">
        <w:t xml:space="preserve">sources, </w:t>
      </w:r>
      <w:r w:rsidR="00CE6BA7" w:rsidRPr="00CE6BA7">
        <w:t xml:space="preserve">MSH staff </w:t>
      </w:r>
      <w:r w:rsidR="00A1795C">
        <w:t>collected data from a representative sample of two</w:t>
      </w:r>
      <w:r w:rsidR="00DD6C39">
        <w:t xml:space="preserve"> </w:t>
      </w:r>
      <w:r w:rsidR="00CE6BA7" w:rsidRPr="00CE6BA7">
        <w:t>districts</w:t>
      </w:r>
      <w:r w:rsidR="00FA3A23">
        <w:t xml:space="preserve"> in each country</w:t>
      </w:r>
      <w:r w:rsidR="00E00DE0">
        <w:t xml:space="preserve">, visiting </w:t>
      </w:r>
      <w:r w:rsidR="00490093">
        <w:t xml:space="preserve">two </w:t>
      </w:r>
      <w:r w:rsidR="00A1795C">
        <w:t>health centers</w:t>
      </w:r>
      <w:r w:rsidR="00662342">
        <w:t xml:space="preserve"> (on average) in each district. </w:t>
      </w:r>
    </w:p>
    <w:p w:rsidR="00AC46E2" w:rsidRDefault="00AC46E2" w:rsidP="00A1795C"/>
    <w:p w:rsidR="00D3544A" w:rsidRDefault="00662342" w:rsidP="00A1795C">
      <w:r>
        <w:t xml:space="preserve">The sample districts </w:t>
      </w:r>
      <w:r w:rsidR="00AC46E2">
        <w:t xml:space="preserve">(Table 1) </w:t>
      </w:r>
      <w:r>
        <w:t xml:space="preserve">and health centers </w:t>
      </w:r>
      <w:r w:rsidR="00A1795C">
        <w:t xml:space="preserve">were selected by </w:t>
      </w:r>
      <w:r w:rsidR="004A05FB">
        <w:t xml:space="preserve">the MOH and UNICEF </w:t>
      </w:r>
      <w:r w:rsidR="00A1795C">
        <w:t>based on their accessibility, representation (i.e.</w:t>
      </w:r>
      <w:r w:rsidR="00490093">
        <w:t xml:space="preserve"> </w:t>
      </w:r>
      <w:r w:rsidR="00A1795C">
        <w:t>CHWs providing a range of services within the CHS package with varying catchment population si</w:t>
      </w:r>
      <w:r>
        <w:t>zes and geography), and availability of s</w:t>
      </w:r>
      <w:r w:rsidR="00A1795C">
        <w:t>taff to participate in interviews.</w:t>
      </w:r>
      <w:r w:rsidR="00D3544A">
        <w:t xml:space="preserve"> In Malawi, d</w:t>
      </w:r>
      <w:r w:rsidR="00340DFD">
        <w:t xml:space="preserve">ata was collected in Ntcheu and Dedza districts </w:t>
      </w:r>
      <w:r w:rsidR="00D3544A">
        <w:t>where HSAs were supported</w:t>
      </w:r>
      <w:r w:rsidR="004A05FB">
        <w:t xml:space="preserve"> and supervised</w:t>
      </w:r>
      <w:r w:rsidR="00D3544A">
        <w:t xml:space="preserve"> by </w:t>
      </w:r>
      <w:r w:rsidR="00AC46E2">
        <w:t>MOH</w:t>
      </w:r>
      <w:r w:rsidR="004A05FB">
        <w:t xml:space="preserve"> personnel.</w:t>
      </w:r>
      <w:r w:rsidR="00D3544A">
        <w:t xml:space="preserve"> In Sierra Leone, data was collected in</w:t>
      </w:r>
      <w:r w:rsidR="00340DFD">
        <w:t xml:space="preserve"> Bombali and Kono districts </w:t>
      </w:r>
      <w:r w:rsidR="004A05FB">
        <w:t>where CHWs were supported and supervised b</w:t>
      </w:r>
      <w:r w:rsidR="00D3544A">
        <w:t xml:space="preserve">y the </w:t>
      </w:r>
      <w:r w:rsidR="00AC46E2">
        <w:t>MOH</w:t>
      </w:r>
      <w:r w:rsidR="004A05FB">
        <w:t>S and personnel from the</w:t>
      </w:r>
      <w:r w:rsidR="00D3544A">
        <w:t xml:space="preserve"> international NGOs World Hope International and the International Rescue Committee, respectively.</w:t>
      </w:r>
      <w:r w:rsidR="00AC46E2">
        <w:t xml:space="preserve"> </w:t>
      </w:r>
    </w:p>
    <w:p w:rsidR="00AC46E2" w:rsidRDefault="00AC46E2" w:rsidP="00A1795C"/>
    <w:p w:rsidR="00D3544A" w:rsidRPr="00D3544A" w:rsidRDefault="00D3544A" w:rsidP="00D3544A">
      <w:pPr>
        <w:pStyle w:val="Caption"/>
        <w:keepNext/>
        <w:rPr>
          <w:sz w:val="22"/>
          <w:szCs w:val="22"/>
        </w:rPr>
      </w:pPr>
      <w:r w:rsidRPr="00D3544A">
        <w:rPr>
          <w:sz w:val="22"/>
          <w:szCs w:val="22"/>
        </w:rPr>
        <w:t xml:space="preserve">Table </w:t>
      </w:r>
      <w:r w:rsidRPr="00D3544A">
        <w:rPr>
          <w:sz w:val="22"/>
          <w:szCs w:val="22"/>
        </w:rPr>
        <w:fldChar w:fldCharType="begin"/>
      </w:r>
      <w:r w:rsidRPr="00D3544A">
        <w:rPr>
          <w:sz w:val="22"/>
          <w:szCs w:val="22"/>
        </w:rPr>
        <w:instrText xml:space="preserve"> SEQ Table \* ARABIC </w:instrText>
      </w:r>
      <w:r w:rsidRPr="00D3544A">
        <w:rPr>
          <w:sz w:val="22"/>
          <w:szCs w:val="22"/>
        </w:rPr>
        <w:fldChar w:fldCharType="separate"/>
      </w:r>
      <w:r w:rsidR="00985728">
        <w:rPr>
          <w:noProof/>
          <w:sz w:val="22"/>
          <w:szCs w:val="22"/>
        </w:rPr>
        <w:t>1</w:t>
      </w:r>
      <w:r w:rsidRPr="00D3544A">
        <w:rPr>
          <w:sz w:val="22"/>
          <w:szCs w:val="22"/>
        </w:rPr>
        <w:fldChar w:fldCharType="end"/>
      </w:r>
      <w:r w:rsidRPr="00D3544A">
        <w:rPr>
          <w:sz w:val="22"/>
          <w:szCs w:val="22"/>
        </w:rPr>
        <w:t xml:space="preserve">. Overview of </w:t>
      </w:r>
      <w:r w:rsidR="00C9785D">
        <w:rPr>
          <w:sz w:val="22"/>
          <w:szCs w:val="22"/>
        </w:rPr>
        <w:t>s</w:t>
      </w:r>
      <w:r w:rsidRPr="00D3544A">
        <w:rPr>
          <w:sz w:val="22"/>
          <w:szCs w:val="22"/>
        </w:rPr>
        <w:t xml:space="preserve">ampled </w:t>
      </w:r>
      <w:r w:rsidR="007D0133">
        <w:rPr>
          <w:sz w:val="22"/>
          <w:szCs w:val="22"/>
        </w:rPr>
        <w:t>district</w:t>
      </w:r>
      <w:r w:rsidRPr="00D3544A">
        <w:rPr>
          <w:sz w:val="22"/>
          <w:szCs w:val="22"/>
        </w:rPr>
        <w:t>s</w:t>
      </w:r>
    </w:p>
    <w:tbl>
      <w:tblPr>
        <w:tblStyle w:val="TableGrid"/>
        <w:tblW w:w="0" w:type="auto"/>
        <w:tblLook w:val="04A0" w:firstRow="1" w:lastRow="0" w:firstColumn="1" w:lastColumn="0" w:noHBand="0" w:noVBand="1"/>
      </w:tblPr>
      <w:tblGrid>
        <w:gridCol w:w="2178"/>
        <w:gridCol w:w="1849"/>
        <w:gridCol w:w="1850"/>
        <w:gridCol w:w="1849"/>
        <w:gridCol w:w="1850"/>
      </w:tblGrid>
      <w:tr w:rsidR="00AC46E2" w:rsidTr="00AC46E2">
        <w:tc>
          <w:tcPr>
            <w:tcW w:w="2178" w:type="dxa"/>
            <w:shd w:val="clear" w:color="auto" w:fill="9BBB59" w:themeFill="accent3"/>
          </w:tcPr>
          <w:p w:rsidR="00AC46E2" w:rsidRPr="006C2791" w:rsidRDefault="00AC46E2" w:rsidP="00A1795C">
            <w:pPr>
              <w:rPr>
                <w:b/>
              </w:rPr>
            </w:pPr>
          </w:p>
        </w:tc>
        <w:tc>
          <w:tcPr>
            <w:tcW w:w="3699" w:type="dxa"/>
            <w:gridSpan w:val="2"/>
            <w:shd w:val="clear" w:color="auto" w:fill="9BBB59" w:themeFill="accent3"/>
            <w:vAlign w:val="center"/>
          </w:tcPr>
          <w:p w:rsidR="00AC46E2" w:rsidRPr="00985728" w:rsidRDefault="00AC46E2" w:rsidP="006C2791">
            <w:pPr>
              <w:jc w:val="center"/>
              <w:rPr>
                <w:b/>
              </w:rPr>
            </w:pPr>
            <w:r>
              <w:rPr>
                <w:b/>
              </w:rPr>
              <w:t>Malawi</w:t>
            </w:r>
          </w:p>
        </w:tc>
        <w:tc>
          <w:tcPr>
            <w:tcW w:w="3699" w:type="dxa"/>
            <w:gridSpan w:val="2"/>
            <w:shd w:val="clear" w:color="auto" w:fill="9BBB59" w:themeFill="accent3"/>
            <w:vAlign w:val="center"/>
          </w:tcPr>
          <w:p w:rsidR="00AC46E2" w:rsidRPr="00985728" w:rsidRDefault="00AC46E2" w:rsidP="006C2791">
            <w:pPr>
              <w:jc w:val="center"/>
              <w:rPr>
                <w:b/>
              </w:rPr>
            </w:pPr>
            <w:r>
              <w:rPr>
                <w:b/>
              </w:rPr>
              <w:t>Sierra Leone</w:t>
            </w:r>
          </w:p>
        </w:tc>
      </w:tr>
      <w:tr w:rsidR="00AC46E2" w:rsidTr="00AC46E2">
        <w:tc>
          <w:tcPr>
            <w:tcW w:w="2178" w:type="dxa"/>
            <w:shd w:val="clear" w:color="auto" w:fill="D6E3BC" w:themeFill="accent3" w:themeFillTint="66"/>
          </w:tcPr>
          <w:p w:rsidR="00985728" w:rsidRPr="00AC46E2" w:rsidRDefault="00C9785D" w:rsidP="00A1795C">
            <w:pPr>
              <w:rPr>
                <w:b/>
              </w:rPr>
            </w:pPr>
            <w:r>
              <w:rPr>
                <w:b/>
              </w:rPr>
              <w:t>D</w:t>
            </w:r>
            <w:r w:rsidR="007D0133">
              <w:rPr>
                <w:b/>
              </w:rPr>
              <w:t>istrict</w:t>
            </w:r>
          </w:p>
        </w:tc>
        <w:tc>
          <w:tcPr>
            <w:tcW w:w="1849" w:type="dxa"/>
            <w:shd w:val="clear" w:color="auto" w:fill="auto"/>
            <w:vAlign w:val="center"/>
          </w:tcPr>
          <w:p w:rsidR="00985728" w:rsidRPr="00985728" w:rsidRDefault="00985728" w:rsidP="006C2791">
            <w:pPr>
              <w:jc w:val="center"/>
              <w:rPr>
                <w:b/>
              </w:rPr>
            </w:pPr>
            <w:r w:rsidRPr="00985728">
              <w:rPr>
                <w:b/>
              </w:rPr>
              <w:t>Dedza</w:t>
            </w:r>
          </w:p>
        </w:tc>
        <w:tc>
          <w:tcPr>
            <w:tcW w:w="1850" w:type="dxa"/>
            <w:shd w:val="clear" w:color="auto" w:fill="auto"/>
            <w:vAlign w:val="center"/>
          </w:tcPr>
          <w:p w:rsidR="00985728" w:rsidRPr="00985728" w:rsidRDefault="00985728" w:rsidP="006C2791">
            <w:pPr>
              <w:jc w:val="center"/>
              <w:rPr>
                <w:b/>
              </w:rPr>
            </w:pPr>
            <w:r w:rsidRPr="00985728">
              <w:rPr>
                <w:b/>
              </w:rPr>
              <w:t>Ntcheu</w:t>
            </w:r>
          </w:p>
        </w:tc>
        <w:tc>
          <w:tcPr>
            <w:tcW w:w="1849" w:type="dxa"/>
            <w:shd w:val="clear" w:color="auto" w:fill="auto"/>
            <w:vAlign w:val="center"/>
          </w:tcPr>
          <w:p w:rsidR="00985728" w:rsidRPr="00985728" w:rsidRDefault="00985728" w:rsidP="006C2791">
            <w:pPr>
              <w:jc w:val="center"/>
              <w:rPr>
                <w:b/>
              </w:rPr>
            </w:pPr>
            <w:r w:rsidRPr="00985728">
              <w:rPr>
                <w:b/>
              </w:rPr>
              <w:t>Bombali</w:t>
            </w:r>
          </w:p>
        </w:tc>
        <w:tc>
          <w:tcPr>
            <w:tcW w:w="1850" w:type="dxa"/>
            <w:shd w:val="clear" w:color="auto" w:fill="auto"/>
            <w:vAlign w:val="center"/>
          </w:tcPr>
          <w:p w:rsidR="00985728" w:rsidRPr="00985728" w:rsidRDefault="00985728" w:rsidP="006C2791">
            <w:pPr>
              <w:jc w:val="center"/>
              <w:rPr>
                <w:b/>
              </w:rPr>
            </w:pPr>
            <w:r w:rsidRPr="00985728">
              <w:rPr>
                <w:b/>
              </w:rPr>
              <w:t>Kono</w:t>
            </w:r>
          </w:p>
        </w:tc>
      </w:tr>
      <w:tr w:rsidR="00AC46E2" w:rsidTr="00B72020">
        <w:tc>
          <w:tcPr>
            <w:tcW w:w="9576" w:type="dxa"/>
            <w:gridSpan w:val="5"/>
            <w:shd w:val="clear" w:color="auto" w:fill="D6E3BC" w:themeFill="accent3" w:themeFillTint="66"/>
          </w:tcPr>
          <w:p w:rsidR="00AC46E2" w:rsidRDefault="00AC46E2" w:rsidP="00AC46E2">
            <w:r w:rsidRPr="00AC46E2">
              <w:rPr>
                <w:b/>
              </w:rPr>
              <w:t>Population (% Targeted by CHS)</w:t>
            </w:r>
          </w:p>
        </w:tc>
      </w:tr>
      <w:tr w:rsidR="006C2791" w:rsidTr="00AC46E2">
        <w:tc>
          <w:tcPr>
            <w:tcW w:w="2178" w:type="dxa"/>
            <w:shd w:val="clear" w:color="auto" w:fill="D6E3BC" w:themeFill="accent3" w:themeFillTint="66"/>
            <w:vAlign w:val="center"/>
          </w:tcPr>
          <w:p w:rsidR="006C2791" w:rsidRPr="00AC46E2" w:rsidRDefault="006C2791" w:rsidP="004A05FB">
            <w:pPr>
              <w:ind w:left="288"/>
              <w:rPr>
                <w:b/>
              </w:rPr>
            </w:pPr>
            <w:r w:rsidRPr="00AC46E2">
              <w:rPr>
                <w:b/>
              </w:rPr>
              <w:t>2015</w:t>
            </w:r>
          </w:p>
        </w:tc>
        <w:tc>
          <w:tcPr>
            <w:tcW w:w="1849" w:type="dxa"/>
            <w:shd w:val="clear" w:color="auto" w:fill="auto"/>
            <w:vAlign w:val="bottom"/>
          </w:tcPr>
          <w:p w:rsidR="006C2791" w:rsidRDefault="006C2791" w:rsidP="00AC0082">
            <w:pPr>
              <w:jc w:val="center"/>
              <w:rPr>
                <w:rFonts w:ascii="Calibri" w:hAnsi="Calibri"/>
                <w:color w:val="000000"/>
              </w:rPr>
            </w:pPr>
            <w:r>
              <w:rPr>
                <w:rFonts w:ascii="Calibri" w:hAnsi="Calibri"/>
                <w:color w:val="000000"/>
              </w:rPr>
              <w:t xml:space="preserve">735,411 </w:t>
            </w:r>
            <w:r w:rsidR="00AC46E2">
              <w:rPr>
                <w:rFonts w:ascii="Calibri" w:hAnsi="Calibri"/>
                <w:color w:val="000000"/>
              </w:rPr>
              <w:t>(33%)</w:t>
            </w:r>
          </w:p>
        </w:tc>
        <w:tc>
          <w:tcPr>
            <w:tcW w:w="1850" w:type="dxa"/>
            <w:shd w:val="clear" w:color="auto" w:fill="auto"/>
            <w:vAlign w:val="center"/>
          </w:tcPr>
          <w:p w:rsidR="006C2791" w:rsidRDefault="006C2791" w:rsidP="00AC0082">
            <w:pPr>
              <w:jc w:val="center"/>
            </w:pPr>
            <w:r>
              <w:t>558,942 (33%)</w:t>
            </w:r>
          </w:p>
        </w:tc>
        <w:tc>
          <w:tcPr>
            <w:tcW w:w="1849" w:type="dxa"/>
            <w:shd w:val="clear" w:color="auto" w:fill="auto"/>
            <w:vAlign w:val="center"/>
          </w:tcPr>
          <w:p w:rsidR="006C2791" w:rsidRDefault="006C2791" w:rsidP="00AC0082">
            <w:pPr>
              <w:jc w:val="center"/>
            </w:pPr>
            <w:r>
              <w:t>506,838 (33%)</w:t>
            </w:r>
          </w:p>
        </w:tc>
        <w:tc>
          <w:tcPr>
            <w:tcW w:w="1850" w:type="dxa"/>
            <w:shd w:val="clear" w:color="auto" w:fill="auto"/>
            <w:vAlign w:val="center"/>
          </w:tcPr>
          <w:p w:rsidR="006C2791" w:rsidRDefault="006C2791" w:rsidP="00AC0082">
            <w:pPr>
              <w:jc w:val="center"/>
            </w:pPr>
            <w:r>
              <w:t>533,104 (38%)</w:t>
            </w:r>
          </w:p>
        </w:tc>
      </w:tr>
      <w:tr w:rsidR="006C2791" w:rsidTr="00AC46E2">
        <w:tc>
          <w:tcPr>
            <w:tcW w:w="2178" w:type="dxa"/>
            <w:shd w:val="clear" w:color="auto" w:fill="D6E3BC" w:themeFill="accent3" w:themeFillTint="66"/>
            <w:vAlign w:val="center"/>
          </w:tcPr>
          <w:p w:rsidR="006C2791" w:rsidRPr="00AC46E2" w:rsidRDefault="004A05FB" w:rsidP="004A05FB">
            <w:pPr>
              <w:ind w:left="288"/>
              <w:rPr>
                <w:b/>
              </w:rPr>
            </w:pPr>
            <w:r w:rsidRPr="00AC46E2">
              <w:rPr>
                <w:b/>
              </w:rPr>
              <w:t>2025</w:t>
            </w:r>
            <w:r w:rsidRPr="004A05FB">
              <w:rPr>
                <w:vertAlign w:val="superscript"/>
              </w:rPr>
              <w:t xml:space="preserve">a </w:t>
            </w:r>
          </w:p>
        </w:tc>
        <w:tc>
          <w:tcPr>
            <w:tcW w:w="1849" w:type="dxa"/>
            <w:shd w:val="clear" w:color="auto" w:fill="auto"/>
            <w:vAlign w:val="bottom"/>
          </w:tcPr>
          <w:p w:rsidR="006C2791" w:rsidRDefault="00AC46E2" w:rsidP="00AC0082">
            <w:pPr>
              <w:jc w:val="center"/>
              <w:rPr>
                <w:rFonts w:ascii="Calibri" w:hAnsi="Calibri"/>
                <w:color w:val="000000"/>
              </w:rPr>
            </w:pPr>
            <w:r w:rsidRPr="00AC46E2">
              <w:rPr>
                <w:rFonts w:ascii="Calibri" w:hAnsi="Calibri"/>
                <w:color w:val="000000"/>
              </w:rPr>
              <w:t>994,489</w:t>
            </w:r>
            <w:r>
              <w:rPr>
                <w:rFonts w:ascii="Calibri" w:hAnsi="Calibri"/>
                <w:color w:val="000000"/>
              </w:rPr>
              <w:t xml:space="preserve"> (33%)</w:t>
            </w:r>
          </w:p>
        </w:tc>
        <w:tc>
          <w:tcPr>
            <w:tcW w:w="1850" w:type="dxa"/>
            <w:shd w:val="clear" w:color="auto" w:fill="auto"/>
            <w:vAlign w:val="center"/>
          </w:tcPr>
          <w:p w:rsidR="006C2791" w:rsidRDefault="00AC46E2" w:rsidP="006C2791">
            <w:pPr>
              <w:jc w:val="center"/>
            </w:pPr>
            <w:r w:rsidRPr="00AC46E2">
              <w:t>755,852</w:t>
            </w:r>
            <w:r>
              <w:t xml:space="preserve"> (33%)</w:t>
            </w:r>
          </w:p>
        </w:tc>
        <w:tc>
          <w:tcPr>
            <w:tcW w:w="1849" w:type="dxa"/>
            <w:shd w:val="clear" w:color="auto" w:fill="auto"/>
            <w:vAlign w:val="center"/>
          </w:tcPr>
          <w:p w:rsidR="006C2791" w:rsidRDefault="006C2791" w:rsidP="006C2791">
            <w:pPr>
              <w:jc w:val="center"/>
            </w:pPr>
            <w:r w:rsidRPr="006C2791">
              <w:t>631,165</w:t>
            </w:r>
            <w:r>
              <w:t xml:space="preserve"> (100%)</w:t>
            </w:r>
          </w:p>
        </w:tc>
        <w:tc>
          <w:tcPr>
            <w:tcW w:w="1850" w:type="dxa"/>
            <w:shd w:val="clear" w:color="auto" w:fill="auto"/>
            <w:vAlign w:val="center"/>
          </w:tcPr>
          <w:p w:rsidR="006C2791" w:rsidRDefault="00AC46E2" w:rsidP="006C2791">
            <w:pPr>
              <w:jc w:val="center"/>
            </w:pPr>
            <w:r w:rsidRPr="00AC46E2">
              <w:t>663,874</w:t>
            </w:r>
            <w:r>
              <w:t xml:space="preserve"> (100%)</w:t>
            </w:r>
          </w:p>
        </w:tc>
      </w:tr>
      <w:tr w:rsidR="00AC46E2" w:rsidTr="001E2D68">
        <w:tc>
          <w:tcPr>
            <w:tcW w:w="9576" w:type="dxa"/>
            <w:gridSpan w:val="5"/>
            <w:shd w:val="clear" w:color="auto" w:fill="D6E3BC" w:themeFill="accent3" w:themeFillTint="66"/>
          </w:tcPr>
          <w:p w:rsidR="00AC46E2" w:rsidRDefault="00AC46E2" w:rsidP="00AC46E2">
            <w:r w:rsidRPr="00AC46E2">
              <w:rPr>
                <w:b/>
              </w:rPr>
              <w:t xml:space="preserve">Total CHWs </w:t>
            </w:r>
          </w:p>
        </w:tc>
      </w:tr>
      <w:tr w:rsidR="006C2791" w:rsidTr="00AC46E2">
        <w:tc>
          <w:tcPr>
            <w:tcW w:w="2178" w:type="dxa"/>
            <w:shd w:val="clear" w:color="auto" w:fill="D6E3BC" w:themeFill="accent3" w:themeFillTint="66"/>
          </w:tcPr>
          <w:p w:rsidR="006C2791" w:rsidRPr="00AC46E2" w:rsidRDefault="006C2791" w:rsidP="004A05FB">
            <w:pPr>
              <w:ind w:left="288"/>
              <w:rPr>
                <w:b/>
              </w:rPr>
            </w:pPr>
            <w:r w:rsidRPr="00AC46E2">
              <w:rPr>
                <w:b/>
              </w:rPr>
              <w:t>2015</w:t>
            </w:r>
          </w:p>
        </w:tc>
        <w:tc>
          <w:tcPr>
            <w:tcW w:w="1849" w:type="dxa"/>
            <w:shd w:val="clear" w:color="auto" w:fill="auto"/>
            <w:vAlign w:val="center"/>
          </w:tcPr>
          <w:p w:rsidR="006C2791" w:rsidRDefault="006C2791" w:rsidP="00AC0082">
            <w:pPr>
              <w:jc w:val="center"/>
            </w:pPr>
            <w:r>
              <w:t>439 HSAs</w:t>
            </w:r>
          </w:p>
        </w:tc>
        <w:tc>
          <w:tcPr>
            <w:tcW w:w="1850" w:type="dxa"/>
            <w:shd w:val="clear" w:color="auto" w:fill="auto"/>
            <w:vAlign w:val="center"/>
          </w:tcPr>
          <w:p w:rsidR="006C2791" w:rsidRDefault="006C2791" w:rsidP="00AC0082">
            <w:pPr>
              <w:jc w:val="center"/>
            </w:pPr>
            <w:r>
              <w:t>308 HSAs</w:t>
            </w:r>
          </w:p>
        </w:tc>
        <w:tc>
          <w:tcPr>
            <w:tcW w:w="1849" w:type="dxa"/>
            <w:shd w:val="clear" w:color="auto" w:fill="auto"/>
            <w:vAlign w:val="center"/>
          </w:tcPr>
          <w:p w:rsidR="006C2791" w:rsidRDefault="006C2791" w:rsidP="00AC0082">
            <w:pPr>
              <w:jc w:val="center"/>
            </w:pPr>
            <w:r>
              <w:t>650 CHWs</w:t>
            </w:r>
          </w:p>
        </w:tc>
        <w:tc>
          <w:tcPr>
            <w:tcW w:w="1850" w:type="dxa"/>
            <w:shd w:val="clear" w:color="auto" w:fill="auto"/>
            <w:vAlign w:val="center"/>
          </w:tcPr>
          <w:p w:rsidR="006C2791" w:rsidRDefault="006C2791" w:rsidP="00AC0082">
            <w:pPr>
              <w:jc w:val="center"/>
            </w:pPr>
            <w:r>
              <w:t>743 CHWs</w:t>
            </w:r>
          </w:p>
        </w:tc>
      </w:tr>
      <w:tr w:rsidR="006C2791" w:rsidTr="004A05FB">
        <w:tc>
          <w:tcPr>
            <w:tcW w:w="2178" w:type="dxa"/>
            <w:tcBorders>
              <w:bottom w:val="single" w:sz="4" w:space="0" w:color="auto"/>
            </w:tcBorders>
            <w:shd w:val="clear" w:color="auto" w:fill="D6E3BC" w:themeFill="accent3" w:themeFillTint="66"/>
          </w:tcPr>
          <w:p w:rsidR="006C2791" w:rsidRPr="00AC46E2" w:rsidRDefault="006C2791" w:rsidP="004A05FB">
            <w:pPr>
              <w:ind w:left="288"/>
              <w:rPr>
                <w:b/>
              </w:rPr>
            </w:pPr>
            <w:r w:rsidRPr="00AC46E2">
              <w:rPr>
                <w:b/>
              </w:rPr>
              <w:t>2025</w:t>
            </w:r>
            <w:r w:rsidR="004A05FB" w:rsidRPr="004A05FB">
              <w:rPr>
                <w:vertAlign w:val="superscript"/>
              </w:rPr>
              <w:t>b</w:t>
            </w:r>
          </w:p>
        </w:tc>
        <w:tc>
          <w:tcPr>
            <w:tcW w:w="1849" w:type="dxa"/>
            <w:tcBorders>
              <w:bottom w:val="single" w:sz="4" w:space="0" w:color="auto"/>
            </w:tcBorders>
            <w:shd w:val="clear" w:color="auto" w:fill="auto"/>
            <w:vAlign w:val="center"/>
          </w:tcPr>
          <w:p w:rsidR="006C2791" w:rsidRDefault="006C2791" w:rsidP="00AC0082">
            <w:pPr>
              <w:jc w:val="center"/>
            </w:pPr>
            <w:r>
              <w:t>439 HSAs</w:t>
            </w:r>
          </w:p>
        </w:tc>
        <w:tc>
          <w:tcPr>
            <w:tcW w:w="1850" w:type="dxa"/>
            <w:tcBorders>
              <w:bottom w:val="single" w:sz="4" w:space="0" w:color="auto"/>
            </w:tcBorders>
            <w:shd w:val="clear" w:color="auto" w:fill="auto"/>
            <w:vAlign w:val="center"/>
          </w:tcPr>
          <w:p w:rsidR="006C2791" w:rsidRDefault="006C2791" w:rsidP="00AC0082">
            <w:pPr>
              <w:jc w:val="center"/>
            </w:pPr>
            <w:r>
              <w:t>308 HSAs</w:t>
            </w:r>
          </w:p>
        </w:tc>
        <w:tc>
          <w:tcPr>
            <w:tcW w:w="1849" w:type="dxa"/>
            <w:tcBorders>
              <w:bottom w:val="single" w:sz="4" w:space="0" w:color="auto"/>
            </w:tcBorders>
            <w:shd w:val="clear" w:color="auto" w:fill="auto"/>
            <w:vAlign w:val="center"/>
          </w:tcPr>
          <w:p w:rsidR="006C2791" w:rsidRDefault="006C2791" w:rsidP="006C2791">
            <w:pPr>
              <w:jc w:val="center"/>
            </w:pPr>
            <w:r>
              <w:t>1,249 CHWs</w:t>
            </w:r>
          </w:p>
        </w:tc>
        <w:tc>
          <w:tcPr>
            <w:tcW w:w="1850" w:type="dxa"/>
            <w:tcBorders>
              <w:bottom w:val="single" w:sz="4" w:space="0" w:color="auto"/>
            </w:tcBorders>
            <w:shd w:val="clear" w:color="auto" w:fill="auto"/>
            <w:vAlign w:val="center"/>
          </w:tcPr>
          <w:p w:rsidR="006C2791" w:rsidRDefault="006C2791" w:rsidP="006C2791">
            <w:pPr>
              <w:jc w:val="center"/>
            </w:pPr>
            <w:r>
              <w:t>1,346 CHWs</w:t>
            </w:r>
          </w:p>
        </w:tc>
      </w:tr>
      <w:tr w:rsidR="004A05FB" w:rsidTr="004A05FB">
        <w:tc>
          <w:tcPr>
            <w:tcW w:w="9576" w:type="dxa"/>
            <w:gridSpan w:val="5"/>
            <w:tcBorders>
              <w:top w:val="single" w:sz="4" w:space="0" w:color="auto"/>
              <w:left w:val="nil"/>
              <w:bottom w:val="nil"/>
              <w:right w:val="nil"/>
            </w:tcBorders>
            <w:shd w:val="clear" w:color="auto" w:fill="auto"/>
          </w:tcPr>
          <w:p w:rsidR="004A05FB" w:rsidRPr="004A05FB" w:rsidRDefault="004A05FB" w:rsidP="004A05FB">
            <w:pPr>
              <w:rPr>
                <w:sz w:val="20"/>
                <w:szCs w:val="20"/>
              </w:rPr>
            </w:pPr>
            <w:r w:rsidRPr="004A05FB">
              <w:rPr>
                <w:vertAlign w:val="superscript"/>
              </w:rPr>
              <w:t>a</w:t>
            </w:r>
            <w:r>
              <w:rPr>
                <w:vertAlign w:val="superscript"/>
              </w:rPr>
              <w:t xml:space="preserve"> </w:t>
            </w:r>
            <w:r w:rsidRPr="004A05FB">
              <w:rPr>
                <w:sz w:val="20"/>
                <w:szCs w:val="20"/>
              </w:rPr>
              <w:t xml:space="preserve">estimated 2025 population </w:t>
            </w:r>
          </w:p>
          <w:p w:rsidR="004A05FB" w:rsidRDefault="004A05FB" w:rsidP="004A05FB">
            <w:r w:rsidRPr="004A05FB">
              <w:rPr>
                <w:vertAlign w:val="superscript"/>
              </w:rPr>
              <w:t>b</w:t>
            </w:r>
            <w:r w:rsidR="009D2457">
              <w:rPr>
                <w:vertAlign w:val="superscript"/>
              </w:rPr>
              <w:t xml:space="preserve"> </w:t>
            </w:r>
            <w:r w:rsidRPr="004A05FB">
              <w:rPr>
                <w:sz w:val="20"/>
                <w:szCs w:val="20"/>
              </w:rPr>
              <w:t>the number of CHWs in 2025 was estimated for the purpose of cost modelling</w:t>
            </w:r>
          </w:p>
        </w:tc>
      </w:tr>
    </w:tbl>
    <w:p w:rsidR="00D3544A" w:rsidRDefault="00D3544A" w:rsidP="00985728">
      <w:pPr>
        <w:ind w:firstLine="720"/>
      </w:pPr>
    </w:p>
    <w:p w:rsidR="00985728" w:rsidRDefault="00985728" w:rsidP="00985728">
      <w:pPr>
        <w:ind w:firstLine="720"/>
      </w:pPr>
    </w:p>
    <w:p w:rsidR="00A96F30" w:rsidRDefault="00A96F30" w:rsidP="00A96F30">
      <w:pPr>
        <w:pStyle w:val="Heading2"/>
        <w:rPr>
          <w:highlight w:val="yellow"/>
        </w:rPr>
      </w:pPr>
      <w:r>
        <w:lastRenderedPageBreak/>
        <w:t>Cost Modelling and Analysis</w:t>
      </w:r>
    </w:p>
    <w:p w:rsidR="00FA3A23" w:rsidRDefault="005F2F2C" w:rsidP="00FA3A23">
      <w:pPr>
        <w:rPr>
          <w:iCs/>
        </w:rPr>
      </w:pPr>
      <w:r>
        <w:t xml:space="preserve">MSH personnel </w:t>
      </w:r>
      <w:r w:rsidR="003F60CB">
        <w:t>entered</w:t>
      </w:r>
      <w:r>
        <w:t xml:space="preserve"> and analyzed all data using the </w:t>
      </w:r>
      <w:r w:rsidR="00747CAF">
        <w:t xml:space="preserve">spreadsheet-based </w:t>
      </w:r>
      <w:r>
        <w:t>CHS Planning and Costing Tool</w:t>
      </w:r>
      <w:r>
        <w:rPr>
          <w:iCs/>
        </w:rPr>
        <w:t xml:space="preserve">. For the baseline year (2015), MSH used actual service and cost data obtained by the </w:t>
      </w:r>
      <w:r w:rsidR="009D2457">
        <w:rPr>
          <w:iCs/>
        </w:rPr>
        <w:t>MOH</w:t>
      </w:r>
      <w:r w:rsidR="00C9785D">
        <w:rPr>
          <w:iCs/>
        </w:rPr>
        <w:t>s</w:t>
      </w:r>
      <w:r>
        <w:rPr>
          <w:iCs/>
        </w:rPr>
        <w:t xml:space="preserve"> and implementing </w:t>
      </w:r>
      <w:r w:rsidR="00D3544A">
        <w:rPr>
          <w:iCs/>
        </w:rPr>
        <w:t xml:space="preserve">NGO </w:t>
      </w:r>
      <w:r>
        <w:rPr>
          <w:iCs/>
        </w:rPr>
        <w:t>partners in each district.</w:t>
      </w:r>
      <w:r w:rsidR="0082649C">
        <w:rPr>
          <w:iCs/>
        </w:rPr>
        <w:t xml:space="preserve"> </w:t>
      </w:r>
      <w:r w:rsidR="00C9623B">
        <w:rPr>
          <w:iCs/>
        </w:rPr>
        <w:t>F</w:t>
      </w:r>
      <w:r>
        <w:rPr>
          <w:iCs/>
        </w:rPr>
        <w:t>or future years of prog</w:t>
      </w:r>
      <w:r w:rsidR="00C9623B">
        <w:rPr>
          <w:iCs/>
        </w:rPr>
        <w:t>r</w:t>
      </w:r>
      <w:r w:rsidR="00747CAF">
        <w:rPr>
          <w:iCs/>
        </w:rPr>
        <w:t>am implementation (2016-2025), MSH c</w:t>
      </w:r>
      <w:r w:rsidR="00C9623B">
        <w:rPr>
          <w:iCs/>
        </w:rPr>
        <w:t xml:space="preserve">alculated the projected costs </w:t>
      </w:r>
      <w:r>
        <w:rPr>
          <w:iCs/>
        </w:rPr>
        <w:t xml:space="preserve">based on </w:t>
      </w:r>
      <w:r w:rsidR="00747CAF">
        <w:rPr>
          <w:iCs/>
        </w:rPr>
        <w:t xml:space="preserve">the </w:t>
      </w:r>
      <w:r w:rsidR="00C9623B">
        <w:rPr>
          <w:iCs/>
        </w:rPr>
        <w:t xml:space="preserve">future scale-up scenarios and the </w:t>
      </w:r>
      <w:r w:rsidR="00C9623B" w:rsidRPr="00C9623B">
        <w:rPr>
          <w:i/>
          <w:iCs/>
        </w:rPr>
        <w:t>expected</w:t>
      </w:r>
      <w:r w:rsidR="00C9623B" w:rsidRPr="00747CAF">
        <w:rPr>
          <w:i/>
          <w:iCs/>
        </w:rPr>
        <w:t xml:space="preserve"> c</w:t>
      </w:r>
      <w:r w:rsidRPr="00747CAF">
        <w:rPr>
          <w:i/>
          <w:iCs/>
        </w:rPr>
        <w:t>over</w:t>
      </w:r>
      <w:r w:rsidR="00FA3A23" w:rsidRPr="00747CAF">
        <w:rPr>
          <w:i/>
          <w:iCs/>
        </w:rPr>
        <w:t>a</w:t>
      </w:r>
      <w:r w:rsidR="00662342" w:rsidRPr="00747CAF">
        <w:rPr>
          <w:i/>
          <w:iCs/>
        </w:rPr>
        <w:t>ge</w:t>
      </w:r>
      <w:r w:rsidR="00747CAF">
        <w:rPr>
          <w:rStyle w:val="FootnoteReference"/>
          <w:i/>
          <w:iCs/>
        </w:rPr>
        <w:footnoteReference w:id="1"/>
      </w:r>
      <w:r w:rsidR="00662342">
        <w:rPr>
          <w:iCs/>
        </w:rPr>
        <w:t xml:space="preserve"> of </w:t>
      </w:r>
      <w:r w:rsidR="00747CAF">
        <w:rPr>
          <w:iCs/>
        </w:rPr>
        <w:t>CHS</w:t>
      </w:r>
      <w:r w:rsidR="00662342">
        <w:rPr>
          <w:iCs/>
        </w:rPr>
        <w:t xml:space="preserve">, as determined by </w:t>
      </w:r>
      <w:r w:rsidR="007D25C4">
        <w:rPr>
          <w:iCs/>
        </w:rPr>
        <w:t>the MOH</w:t>
      </w:r>
      <w:r w:rsidR="00C9785D">
        <w:rPr>
          <w:iCs/>
        </w:rPr>
        <w:t>s</w:t>
      </w:r>
      <w:r w:rsidR="00C9623B">
        <w:rPr>
          <w:iCs/>
        </w:rPr>
        <w:t>.</w:t>
      </w:r>
      <w:r w:rsidR="00BD61CD">
        <w:rPr>
          <w:iCs/>
        </w:rPr>
        <w:t xml:space="preserve"> For all years of the analysis, t</w:t>
      </w:r>
      <w:r w:rsidR="00BD61CD">
        <w:t>he c</w:t>
      </w:r>
      <w:r w:rsidR="00BD61CD" w:rsidRPr="0007119B">
        <w:t>overage rate</w:t>
      </w:r>
      <w:r w:rsidR="00BD61CD">
        <w:t>s</w:t>
      </w:r>
      <w:r w:rsidR="00BD61CD" w:rsidRPr="0007119B">
        <w:t xml:space="preserve"> </w:t>
      </w:r>
      <w:r w:rsidR="00BD61CD">
        <w:t xml:space="preserve">were determined by dividing the </w:t>
      </w:r>
      <w:r w:rsidR="00BD61CD" w:rsidRPr="0007119B">
        <w:t>act</w:t>
      </w:r>
      <w:r w:rsidR="00BD61CD">
        <w:t xml:space="preserve">ual or projected number of services </w:t>
      </w:r>
      <w:r w:rsidR="00BD61CD" w:rsidRPr="0007119B">
        <w:t>by the expec</w:t>
      </w:r>
      <w:r w:rsidR="00BD61CD">
        <w:t>ted number of services.</w:t>
      </w:r>
    </w:p>
    <w:p w:rsidR="00FA3A23" w:rsidRDefault="00FA3A23" w:rsidP="00FA3A23">
      <w:pPr>
        <w:rPr>
          <w:iCs/>
        </w:rPr>
      </w:pPr>
    </w:p>
    <w:p w:rsidR="00411430" w:rsidRPr="00083827" w:rsidRDefault="00354E80" w:rsidP="00411430">
      <w:pPr>
        <w:pStyle w:val="Style1"/>
      </w:pPr>
      <w:r>
        <w:t>Findings</w:t>
      </w:r>
    </w:p>
    <w:p w:rsidR="00A1795C" w:rsidRDefault="00D3544A" w:rsidP="00834BBA">
      <w:r>
        <w:t>T</w:t>
      </w:r>
      <w:r w:rsidR="00342050">
        <w:t>he pilot</w:t>
      </w:r>
      <w:r w:rsidR="002600C8">
        <w:t>s</w:t>
      </w:r>
      <w:r w:rsidR="00342050" w:rsidRPr="00342050">
        <w:t xml:space="preserve"> </w:t>
      </w:r>
      <w:r w:rsidR="00342050">
        <w:t>conducted in Malawi and Sierra Leone provided an invaluable analysis of the cost</w:t>
      </w:r>
      <w:r w:rsidR="00747CAF">
        <w:t xml:space="preserve"> of </w:t>
      </w:r>
      <w:r w:rsidR="00342050">
        <w:t>CH</w:t>
      </w:r>
      <w:r w:rsidR="00747CAF">
        <w:t>S</w:t>
      </w:r>
      <w:r w:rsidR="003F60CB">
        <w:t xml:space="preserve"> implementation</w:t>
      </w:r>
      <w:r w:rsidR="00747CAF">
        <w:t xml:space="preserve"> </w:t>
      </w:r>
      <w:r w:rsidR="006C1B80">
        <w:t>and the various bottlenecks</w:t>
      </w:r>
      <w:r w:rsidR="006C1B80" w:rsidRPr="006C1B80">
        <w:t xml:space="preserve"> impeding the</w:t>
      </w:r>
      <w:r>
        <w:t xml:space="preserve"> delivery and/or quality of CHS, as described in the following section.</w:t>
      </w:r>
    </w:p>
    <w:p w:rsidR="007631F7" w:rsidRDefault="007631F7" w:rsidP="00A1795C">
      <w:pPr>
        <w:pStyle w:val="Heading2"/>
        <w:rPr>
          <w:b/>
        </w:rPr>
      </w:pPr>
    </w:p>
    <w:p w:rsidR="00A1795C" w:rsidRPr="007631F7" w:rsidRDefault="00A1795C" w:rsidP="00A1795C">
      <w:pPr>
        <w:pStyle w:val="Heading2"/>
        <w:rPr>
          <w:b/>
        </w:rPr>
      </w:pPr>
      <w:r w:rsidRPr="007631F7">
        <w:rPr>
          <w:b/>
        </w:rPr>
        <w:t>Malawi</w:t>
      </w:r>
    </w:p>
    <w:p w:rsidR="007631F7" w:rsidRDefault="007631F7" w:rsidP="004A05FB"/>
    <w:p w:rsidR="00C132F0" w:rsidRDefault="003F60CB" w:rsidP="004A05FB">
      <w:r>
        <w:t xml:space="preserve">At the request of the MOH, MSH </w:t>
      </w:r>
      <w:r w:rsidR="00C132F0">
        <w:t>conducted a cost analysis of the HSA program in Ntcheu and Dedza districts f</w:t>
      </w:r>
      <w:r w:rsidR="00BD61CD">
        <w:t>rom 2015-202</w:t>
      </w:r>
      <w:r w:rsidR="00C132F0">
        <w:t>5.</w:t>
      </w:r>
      <w:r w:rsidR="00666AA3">
        <w:t xml:space="preserve"> These districts were also selected, as they are among the RMNCH priority districts in Malawi.</w:t>
      </w:r>
      <w:r w:rsidR="00C132F0">
        <w:t xml:space="preserve"> The 2015 costs reflec</w:t>
      </w:r>
      <w:r w:rsidR="00BD61CD">
        <w:t xml:space="preserve">t those of the actual program in each district while </w:t>
      </w:r>
      <w:r w:rsidR="0007119B">
        <w:t>the 2016-2025 costs reflect the ongoing implementation of the program with no additional geographic scale-up</w:t>
      </w:r>
      <w:r w:rsidR="00BD61CD">
        <w:t xml:space="preserve"> or expansion of the number of CHWs.</w:t>
      </w:r>
    </w:p>
    <w:p w:rsidR="00BF1CCD" w:rsidRDefault="00BF1CCD" w:rsidP="00834BBA"/>
    <w:p w:rsidR="00BF1CCD" w:rsidRPr="004A05FB" w:rsidRDefault="00BF1CCD" w:rsidP="00834BBA">
      <w:pPr>
        <w:rPr>
          <w:b/>
          <w:i/>
        </w:rPr>
      </w:pPr>
      <w:r w:rsidRPr="004A05FB">
        <w:rPr>
          <w:b/>
          <w:i/>
        </w:rPr>
        <w:t>Service Utilization</w:t>
      </w:r>
    </w:p>
    <w:p w:rsidR="00BF1CCD" w:rsidRPr="00BF1CCD" w:rsidRDefault="00BF1CCD" w:rsidP="00D3544A">
      <w:r>
        <w:t>B</w:t>
      </w:r>
      <w:r w:rsidRPr="00BF1CCD">
        <w:t xml:space="preserve">ased on the </w:t>
      </w:r>
      <w:r w:rsidR="00482A40">
        <w:t xml:space="preserve">reported </w:t>
      </w:r>
      <w:r>
        <w:t xml:space="preserve">2015 </w:t>
      </w:r>
      <w:r w:rsidR="00D3544A">
        <w:t xml:space="preserve">service </w:t>
      </w:r>
      <w:r w:rsidR="00482A40">
        <w:t>utilization data</w:t>
      </w:r>
      <w:r>
        <w:t xml:space="preserve">, </w:t>
      </w:r>
      <w:r w:rsidR="00482A40">
        <w:t>t</w:t>
      </w:r>
      <w:r w:rsidR="00482A40" w:rsidRPr="00482A40">
        <w:t>he</w:t>
      </w:r>
      <w:r w:rsidR="00482A40">
        <w:t xml:space="preserve"> majority of </w:t>
      </w:r>
      <w:r w:rsidR="00482A40" w:rsidRPr="00482A40">
        <w:t>services prov</w:t>
      </w:r>
      <w:r w:rsidR="00482A40">
        <w:t>ided wer</w:t>
      </w:r>
      <w:r w:rsidR="00482A40" w:rsidRPr="00482A40">
        <w:t>e</w:t>
      </w:r>
      <w:r w:rsidR="00482A40">
        <w:t xml:space="preserve"> for family planning and iCCM – HSAs</w:t>
      </w:r>
      <w:r w:rsidR="00482A40" w:rsidRPr="00BF1CCD">
        <w:t xml:space="preserve"> only pr</w:t>
      </w:r>
      <w:r w:rsidR="00482A40">
        <w:t xml:space="preserve">ovided </w:t>
      </w:r>
      <w:r w:rsidR="00482A40" w:rsidRPr="00BF1CCD">
        <w:t xml:space="preserve">14 of the </w:t>
      </w:r>
      <w:r w:rsidR="00482A40">
        <w:t>43</w:t>
      </w:r>
      <w:r w:rsidR="00482A40" w:rsidRPr="00BF1CCD">
        <w:t xml:space="preserve"> servi</w:t>
      </w:r>
      <w:r w:rsidR="00482A40">
        <w:t xml:space="preserve">ces in Ntcheu </w:t>
      </w:r>
      <w:r w:rsidR="00BD61CD">
        <w:t xml:space="preserve">district </w:t>
      </w:r>
      <w:r w:rsidR="00482A40">
        <w:t>and 12 of the 43 services i</w:t>
      </w:r>
      <w:r w:rsidR="00482A40" w:rsidRPr="00BF1CCD">
        <w:t>n Dedza</w:t>
      </w:r>
      <w:r w:rsidR="00BD61CD">
        <w:t xml:space="preserve"> district</w:t>
      </w:r>
      <w:r w:rsidR="00482A40">
        <w:t>, as per the MOH national package of CHS</w:t>
      </w:r>
      <w:r w:rsidR="00482A40" w:rsidRPr="00BF1CCD">
        <w:t>.</w:t>
      </w:r>
      <w:r w:rsidR="00482A40">
        <w:t xml:space="preserve"> Based on the analysis, H</w:t>
      </w:r>
      <w:r w:rsidRPr="00BF1CCD">
        <w:t>SA</w:t>
      </w:r>
      <w:r w:rsidR="00E67E61">
        <w:t>s</w:t>
      </w:r>
      <w:r w:rsidRPr="00BF1CCD">
        <w:t xml:space="preserve"> were </w:t>
      </w:r>
      <w:r w:rsidR="00D3544A">
        <w:t xml:space="preserve">relatively </w:t>
      </w:r>
      <w:r w:rsidRPr="00BF1CCD">
        <w:t xml:space="preserve">under-utilized </w:t>
      </w:r>
      <w:r>
        <w:t xml:space="preserve">with </w:t>
      </w:r>
      <w:r w:rsidRPr="00BF1CCD">
        <w:t>only</w:t>
      </w:r>
      <w:r w:rsidR="00482A40">
        <w:t xml:space="preserve"> nine</w:t>
      </w:r>
      <w:r>
        <w:t xml:space="preserve"> percent </w:t>
      </w:r>
      <w:r w:rsidR="00482A40">
        <w:t xml:space="preserve">and eight percent of HSA time being </w:t>
      </w:r>
      <w:r w:rsidR="00D3544A">
        <w:t>devoted fo</w:t>
      </w:r>
      <w:r w:rsidR="00482A40">
        <w:t>r</w:t>
      </w:r>
      <w:r w:rsidR="00E67E61">
        <w:t xml:space="preserve"> service provision and</w:t>
      </w:r>
      <w:r w:rsidR="00482A40">
        <w:t xml:space="preserve"> job responsibilities in</w:t>
      </w:r>
      <w:r w:rsidRPr="00BF1CCD">
        <w:t xml:space="preserve"> Ntcheu </w:t>
      </w:r>
      <w:r w:rsidR="00482A40">
        <w:t>and</w:t>
      </w:r>
      <w:r w:rsidRPr="00BF1CCD">
        <w:t xml:space="preserve"> Dedza</w:t>
      </w:r>
      <w:r w:rsidR="00482A40">
        <w:t xml:space="preserve"> districts, respectively</w:t>
      </w:r>
      <w:r w:rsidRPr="00BF1CCD">
        <w:t>.</w:t>
      </w:r>
      <w:r w:rsidR="00482A40">
        <w:t xml:space="preserve"> </w:t>
      </w:r>
    </w:p>
    <w:p w:rsidR="00BF1CCD" w:rsidRDefault="00BF1CCD" w:rsidP="00D3544A">
      <w:pPr>
        <w:rPr>
          <w:b/>
        </w:rPr>
      </w:pPr>
    </w:p>
    <w:p w:rsidR="00482A40" w:rsidRDefault="00482A40" w:rsidP="00D3544A">
      <w:r>
        <w:t xml:space="preserve">Based on </w:t>
      </w:r>
      <w:r w:rsidR="00D3544A">
        <w:t xml:space="preserve">modelled </w:t>
      </w:r>
      <w:r>
        <w:t>projections</w:t>
      </w:r>
      <w:r w:rsidR="00BD61CD">
        <w:t xml:space="preserve"> (2016-2025)</w:t>
      </w:r>
      <w:r>
        <w:t>, if the full package of CHS</w:t>
      </w:r>
      <w:r w:rsidR="00D3544A">
        <w:t xml:space="preserve"> (43 services)</w:t>
      </w:r>
      <w:r>
        <w:t xml:space="preserve"> is provided and </w:t>
      </w:r>
      <w:r w:rsidR="00BD61CD">
        <w:t xml:space="preserve">the </w:t>
      </w:r>
      <w:r>
        <w:t>utilization</w:t>
      </w:r>
      <w:r w:rsidR="00BD61CD">
        <w:t xml:space="preserve"> of each service increases </w:t>
      </w:r>
      <w:r>
        <w:t xml:space="preserve">by </w:t>
      </w:r>
      <w:r w:rsidR="00BD61CD">
        <w:t>five</w:t>
      </w:r>
      <w:r>
        <w:t xml:space="preserve"> percent per year</w:t>
      </w:r>
      <w:r w:rsidR="005A5E22">
        <w:t xml:space="preserve"> (</w:t>
      </w:r>
      <w:r w:rsidR="007D25C4">
        <w:t>Figure 1</w:t>
      </w:r>
      <w:r w:rsidR="005A5E22">
        <w:t>)</w:t>
      </w:r>
      <w:r>
        <w:t xml:space="preserve">, it is estimated that by 2025, </w:t>
      </w:r>
      <w:r w:rsidR="00BD61CD">
        <w:t xml:space="preserve">the time spent by </w:t>
      </w:r>
      <w:r>
        <w:t>HSAs</w:t>
      </w:r>
      <w:r w:rsidR="00D3544A">
        <w:t xml:space="preserve"> for </w:t>
      </w:r>
      <w:r w:rsidR="00E67E61">
        <w:t>service provision</w:t>
      </w:r>
      <w:r>
        <w:t xml:space="preserve"> will </w:t>
      </w:r>
      <w:r w:rsidR="00BD61CD">
        <w:t xml:space="preserve">increase significantly to </w:t>
      </w:r>
      <w:r>
        <w:t>77</w:t>
      </w:r>
      <w:r w:rsidR="00BD61CD">
        <w:t xml:space="preserve"> percent </w:t>
      </w:r>
      <w:r>
        <w:t>in Ntcheu</w:t>
      </w:r>
      <w:r w:rsidR="00BD61CD">
        <w:t xml:space="preserve"> district and </w:t>
      </w:r>
      <w:r>
        <w:t>69 percent</w:t>
      </w:r>
      <w:r w:rsidR="00BD61CD">
        <w:t xml:space="preserve"> in </w:t>
      </w:r>
      <w:r>
        <w:t>D</w:t>
      </w:r>
      <w:r w:rsidR="00BD61CD">
        <w:t xml:space="preserve">edza district. </w:t>
      </w:r>
    </w:p>
    <w:p w:rsidR="00572DE2" w:rsidRDefault="00572DE2" w:rsidP="007631F7">
      <w:pPr>
        <w:pStyle w:val="NoSpacing"/>
      </w:pPr>
    </w:p>
    <w:p w:rsidR="00572DE2" w:rsidRDefault="00572DE2" w:rsidP="007631F7">
      <w:pPr>
        <w:pStyle w:val="NoSpacing"/>
      </w:pPr>
    </w:p>
    <w:p w:rsidR="00572DE2" w:rsidRDefault="00572DE2" w:rsidP="007631F7">
      <w:pPr>
        <w:pStyle w:val="NoSpacing"/>
      </w:pPr>
    </w:p>
    <w:p w:rsidR="00572DE2" w:rsidRDefault="00572DE2" w:rsidP="007631F7">
      <w:pPr>
        <w:pStyle w:val="NoSpacing"/>
      </w:pPr>
    </w:p>
    <w:p w:rsidR="00572DE2" w:rsidRDefault="00572DE2" w:rsidP="007631F7">
      <w:pPr>
        <w:pStyle w:val="NoSpacing"/>
      </w:pPr>
    </w:p>
    <w:p w:rsidR="00572DE2" w:rsidRDefault="00572DE2" w:rsidP="007631F7">
      <w:pPr>
        <w:pStyle w:val="NoSpacing"/>
      </w:pPr>
    </w:p>
    <w:p w:rsidR="00572DE2" w:rsidRDefault="00572DE2" w:rsidP="007631F7">
      <w:pPr>
        <w:pStyle w:val="NoSpacing"/>
      </w:pPr>
    </w:p>
    <w:p w:rsidR="00572DE2" w:rsidRDefault="00572DE2" w:rsidP="007631F7">
      <w:pPr>
        <w:pStyle w:val="NoSpacing"/>
      </w:pPr>
    </w:p>
    <w:p w:rsidR="00572DE2" w:rsidRPr="00572DE2" w:rsidRDefault="00572DE2" w:rsidP="00572DE2">
      <w:pPr>
        <w:jc w:val="center"/>
        <w:rPr>
          <w:b/>
          <w:color w:val="548DD4" w:themeColor="text2" w:themeTint="99"/>
        </w:rPr>
      </w:pPr>
      <w:r w:rsidRPr="00572DE2">
        <w:rPr>
          <w:b/>
          <w:color w:val="548DD4" w:themeColor="text2" w:themeTint="99"/>
        </w:rPr>
        <w:t>Figure 1. Dedza district – Total Number of Community Health Services by Program (2015-2015)</w:t>
      </w:r>
    </w:p>
    <w:p w:rsidR="00572DE2" w:rsidRPr="00501970" w:rsidRDefault="00572DE2" w:rsidP="00572DE2"/>
    <w:p w:rsidR="00385168" w:rsidRDefault="00385168" w:rsidP="00572DE2">
      <w:pPr>
        <w:jc w:val="center"/>
      </w:pPr>
      <w:r>
        <w:rPr>
          <w:noProof/>
        </w:rPr>
        <w:drawing>
          <wp:inline distT="0" distB="0" distL="0" distR="0" wp14:anchorId="312A77EF" wp14:editId="4547E6DD">
            <wp:extent cx="5401733" cy="3454400"/>
            <wp:effectExtent l="0" t="0" r="27940" b="1270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82A40" w:rsidRDefault="00482A40" w:rsidP="00834BBA">
      <w:pPr>
        <w:rPr>
          <w:b/>
        </w:rPr>
      </w:pPr>
    </w:p>
    <w:p w:rsidR="00BF1CCD" w:rsidRPr="004A05FB" w:rsidRDefault="00BF1CCD" w:rsidP="00BF1CCD">
      <w:pPr>
        <w:rPr>
          <w:b/>
          <w:i/>
        </w:rPr>
      </w:pPr>
      <w:r w:rsidRPr="004A05FB">
        <w:rPr>
          <w:b/>
          <w:i/>
        </w:rPr>
        <w:t xml:space="preserve">Program Costs </w:t>
      </w:r>
    </w:p>
    <w:p w:rsidR="007D0133" w:rsidRDefault="007D25C4" w:rsidP="00BF1CCD">
      <w:r>
        <w:t xml:space="preserve">In 2015, the total costs of the programs </w:t>
      </w:r>
      <w:r w:rsidR="007D0133">
        <w:t>were US $</w:t>
      </w:r>
      <w:r w:rsidR="007D0133" w:rsidRPr="007D0133">
        <w:t xml:space="preserve">715,443 </w:t>
      </w:r>
      <w:r w:rsidR="007D0133">
        <w:t>and US $</w:t>
      </w:r>
      <w:r w:rsidRPr="007D25C4">
        <w:t>962,298</w:t>
      </w:r>
      <w:r>
        <w:t xml:space="preserve"> in Ntcheu and Dedza, respectively.</w:t>
      </w:r>
      <w:r w:rsidR="007D0133">
        <w:t xml:space="preserve"> T</w:t>
      </w:r>
      <w:r w:rsidR="007D0133" w:rsidRPr="00BF1CCD">
        <w:t>he</w:t>
      </w:r>
      <w:r w:rsidR="00594439">
        <w:t xml:space="preserve"> categories of</w:t>
      </w:r>
      <w:r w:rsidR="007D0133" w:rsidRPr="00BF1CCD">
        <w:t xml:space="preserve"> </w:t>
      </w:r>
      <w:r w:rsidR="00594439">
        <w:t>services</w:t>
      </w:r>
      <w:r w:rsidR="007D0133" w:rsidRPr="00BF1CCD">
        <w:t xml:space="preserve"> with the highest costs wer</w:t>
      </w:r>
      <w:r w:rsidR="007D0133">
        <w:t>e iCCM and reproductive health/f</w:t>
      </w:r>
      <w:r w:rsidR="007D0133" w:rsidRPr="00BF1CCD">
        <w:t>ami</w:t>
      </w:r>
      <w:r w:rsidR="007D0133">
        <w:t>ly p</w:t>
      </w:r>
      <w:r w:rsidR="007D0133" w:rsidRPr="00BF1CCD">
        <w:t>lanning</w:t>
      </w:r>
      <w:r w:rsidR="007D0133">
        <w:t xml:space="preserve"> while the main programmatic cost-driver </w:t>
      </w:r>
      <w:r w:rsidR="007D0133" w:rsidRPr="00BF1CCD">
        <w:t xml:space="preserve">in the two districts </w:t>
      </w:r>
      <w:r w:rsidR="007D0133">
        <w:t>was</w:t>
      </w:r>
      <w:r w:rsidR="007D0133" w:rsidRPr="00BF1CCD">
        <w:t xml:space="preserve"> HSA salaries</w:t>
      </w:r>
      <w:r w:rsidR="007D0133">
        <w:t>.</w:t>
      </w:r>
      <w:r w:rsidR="007D0133" w:rsidRPr="007D0133">
        <w:t xml:space="preserve"> </w:t>
      </w:r>
      <w:r w:rsidR="007D0133" w:rsidRPr="00BF1CCD">
        <w:t xml:space="preserve">The average cost per capita in 2015 for the two districts was </w:t>
      </w:r>
      <w:r w:rsidR="007D0133">
        <w:t>US $</w:t>
      </w:r>
      <w:r w:rsidR="007D0133" w:rsidRPr="00BF1CCD">
        <w:t>3.88 in Ntc</w:t>
      </w:r>
      <w:r w:rsidR="007D0133">
        <w:t xml:space="preserve">heu and US $3.97 in Dedza which were </w:t>
      </w:r>
      <w:r w:rsidR="007D0133" w:rsidRPr="00BF1CCD">
        <w:t xml:space="preserve">relatively low </w:t>
      </w:r>
      <w:r w:rsidR="007D0133">
        <w:t xml:space="preserve">due to the </w:t>
      </w:r>
      <w:r w:rsidR="007D0133" w:rsidRPr="00BF1CCD">
        <w:t xml:space="preserve">under-utilization of </w:t>
      </w:r>
      <w:r w:rsidR="007D0133">
        <w:t>services</w:t>
      </w:r>
      <w:r w:rsidR="007D0133" w:rsidRPr="00BF1CCD">
        <w:t>.</w:t>
      </w:r>
    </w:p>
    <w:p w:rsidR="007D0133" w:rsidRDefault="007D0133" w:rsidP="00BF1CCD"/>
    <w:p w:rsidR="0058775E" w:rsidRDefault="007D25C4" w:rsidP="007D0133">
      <w:r>
        <w:t xml:space="preserve">By 2025, </w:t>
      </w:r>
      <w:r w:rsidR="007D0133">
        <w:t xml:space="preserve">due to increases in service utilization, </w:t>
      </w:r>
      <w:r>
        <w:t xml:space="preserve">the total program costs would </w:t>
      </w:r>
      <w:r w:rsidR="007D0133">
        <w:t>amount to US $</w:t>
      </w:r>
      <w:r w:rsidR="007D0133" w:rsidRPr="007D0133">
        <w:t>1,829,590</w:t>
      </w:r>
      <w:r w:rsidR="007D0133">
        <w:t xml:space="preserve"> and</w:t>
      </w:r>
      <w:r w:rsidR="007D0133" w:rsidRPr="007D0133">
        <w:t xml:space="preserve"> </w:t>
      </w:r>
      <w:r w:rsidR="007D0133">
        <w:t>US $</w:t>
      </w:r>
      <w:r w:rsidR="007D0133" w:rsidRPr="007D0133">
        <w:t>2,380,193</w:t>
      </w:r>
      <w:r w:rsidR="007D0133">
        <w:t xml:space="preserve"> </w:t>
      </w:r>
      <w:r>
        <w:t>in N</w:t>
      </w:r>
      <w:r w:rsidR="007D0133">
        <w:t>t</w:t>
      </w:r>
      <w:r>
        <w:t>cheu and Dedza, respectively.</w:t>
      </w:r>
      <w:r w:rsidR="00C9785D">
        <w:t xml:space="preserve"> </w:t>
      </w:r>
      <w:r w:rsidR="0058775E" w:rsidRPr="00BF1CCD">
        <w:t xml:space="preserve">With the projected increases in utilization, the cost per capita would increase to </w:t>
      </w:r>
      <w:r w:rsidR="007D0133">
        <w:t xml:space="preserve"> US $</w:t>
      </w:r>
      <w:r w:rsidR="0058775E" w:rsidRPr="00BF1CCD">
        <w:t xml:space="preserve">7.16 in Ntcheu and </w:t>
      </w:r>
      <w:r w:rsidR="007D0133">
        <w:t xml:space="preserve"> US $</w:t>
      </w:r>
      <w:r w:rsidR="0058775E" w:rsidRPr="00BF1CCD">
        <w:t>7.25 in Dedza</w:t>
      </w:r>
      <w:r w:rsidR="0058775E">
        <w:t xml:space="preserve"> by 2025. T</w:t>
      </w:r>
      <w:r w:rsidR="00BF1CCD" w:rsidRPr="00BF1CCD">
        <w:t xml:space="preserve">he programs with the highest costs in 2025 would be </w:t>
      </w:r>
      <w:r w:rsidR="00BD61CD">
        <w:t>reproductive health / f</w:t>
      </w:r>
      <w:r w:rsidR="00BF1CCD" w:rsidRPr="00BF1CCD">
        <w:t xml:space="preserve">amily </w:t>
      </w:r>
      <w:r w:rsidR="00BD61CD">
        <w:t>p</w:t>
      </w:r>
      <w:r w:rsidR="00BF1CCD" w:rsidRPr="00BF1CCD">
        <w:t xml:space="preserve">lanning </w:t>
      </w:r>
      <w:r w:rsidR="00BD61CD">
        <w:t>followed by immunizations and</w:t>
      </w:r>
      <w:r w:rsidR="0058775E">
        <w:t xml:space="preserve"> iCCM</w:t>
      </w:r>
      <w:r w:rsidR="00BF1CCD" w:rsidRPr="00BF1CCD">
        <w:t xml:space="preserve">. </w:t>
      </w:r>
      <w:r w:rsidR="00BD61CD">
        <w:t>By 2025,</w:t>
      </w:r>
      <w:r w:rsidR="00BF1CCD" w:rsidRPr="00BF1CCD">
        <w:t xml:space="preserve"> </w:t>
      </w:r>
      <w:r w:rsidR="0058775E">
        <w:t>the majority of</w:t>
      </w:r>
      <w:r w:rsidR="00BF1CCD" w:rsidRPr="00BF1CCD">
        <w:t xml:space="preserve"> the costs would be for medicines, supplies</w:t>
      </w:r>
      <w:r w:rsidR="00BD61CD">
        <w:t>,</w:t>
      </w:r>
      <w:r w:rsidR="00BF1CCD" w:rsidRPr="00BF1CCD">
        <w:t xml:space="preserve"> and commodities</w:t>
      </w:r>
      <w:r w:rsidR="004A05FB">
        <w:t xml:space="preserve"> (</w:t>
      </w:r>
      <w:r w:rsidR="007D0133">
        <w:t>Figure 2</w:t>
      </w:r>
      <w:r w:rsidR="004A05FB">
        <w:t>).</w:t>
      </w:r>
    </w:p>
    <w:p w:rsidR="00985728" w:rsidRDefault="00985728" w:rsidP="00BF1CCD"/>
    <w:p w:rsidR="00572DE2" w:rsidRDefault="00572DE2" w:rsidP="00572DE2">
      <w:pPr>
        <w:pStyle w:val="Caption"/>
        <w:keepNext/>
        <w:jc w:val="center"/>
        <w:rPr>
          <w:sz w:val="22"/>
          <w:szCs w:val="22"/>
        </w:rPr>
      </w:pPr>
    </w:p>
    <w:p w:rsidR="00572DE2" w:rsidRDefault="00572DE2" w:rsidP="007631F7">
      <w:pPr>
        <w:pStyle w:val="NoSpacing"/>
      </w:pPr>
    </w:p>
    <w:p w:rsidR="00572DE2" w:rsidRDefault="00572DE2" w:rsidP="007631F7">
      <w:pPr>
        <w:pStyle w:val="NoSpacing"/>
      </w:pPr>
    </w:p>
    <w:p w:rsidR="00572DE2" w:rsidRDefault="00572DE2" w:rsidP="007631F7">
      <w:pPr>
        <w:pStyle w:val="NoSpacing"/>
      </w:pPr>
    </w:p>
    <w:p w:rsidR="00572DE2" w:rsidRDefault="00572DE2" w:rsidP="007631F7">
      <w:pPr>
        <w:pStyle w:val="NoSpacing"/>
      </w:pPr>
    </w:p>
    <w:p w:rsidR="00572DE2" w:rsidRDefault="00572DE2" w:rsidP="007631F7">
      <w:pPr>
        <w:pStyle w:val="NoSpacing"/>
      </w:pPr>
    </w:p>
    <w:p w:rsidR="00572DE2" w:rsidRDefault="00572DE2" w:rsidP="007631F7">
      <w:pPr>
        <w:pStyle w:val="NoSpacing"/>
      </w:pPr>
    </w:p>
    <w:p w:rsidR="007631F7" w:rsidRDefault="007631F7" w:rsidP="007631F7">
      <w:pPr>
        <w:pStyle w:val="NoSpacing"/>
      </w:pPr>
    </w:p>
    <w:p w:rsidR="007D0133" w:rsidRDefault="007D0133" w:rsidP="00572DE2">
      <w:pPr>
        <w:pStyle w:val="Caption"/>
        <w:keepNext/>
        <w:jc w:val="center"/>
        <w:rPr>
          <w:sz w:val="22"/>
          <w:szCs w:val="22"/>
        </w:rPr>
      </w:pPr>
      <w:r w:rsidRPr="00C9785D">
        <w:rPr>
          <w:sz w:val="22"/>
          <w:szCs w:val="22"/>
        </w:rPr>
        <w:t xml:space="preserve">Figure </w:t>
      </w:r>
      <w:r w:rsidRPr="00C9785D">
        <w:rPr>
          <w:sz w:val="22"/>
          <w:szCs w:val="22"/>
        </w:rPr>
        <w:fldChar w:fldCharType="begin"/>
      </w:r>
      <w:r w:rsidRPr="00C9785D">
        <w:rPr>
          <w:sz w:val="22"/>
          <w:szCs w:val="22"/>
        </w:rPr>
        <w:instrText xml:space="preserve"> SEQ Figure \* ARABIC </w:instrText>
      </w:r>
      <w:r w:rsidRPr="00C9785D">
        <w:rPr>
          <w:sz w:val="22"/>
          <w:szCs w:val="22"/>
        </w:rPr>
        <w:fldChar w:fldCharType="separate"/>
      </w:r>
      <w:r w:rsidR="00340769">
        <w:rPr>
          <w:noProof/>
          <w:sz w:val="22"/>
          <w:szCs w:val="22"/>
        </w:rPr>
        <w:t>2</w:t>
      </w:r>
      <w:r w:rsidRPr="00C9785D">
        <w:rPr>
          <w:sz w:val="22"/>
          <w:szCs w:val="22"/>
        </w:rPr>
        <w:fldChar w:fldCharType="end"/>
      </w:r>
      <w:r w:rsidRPr="00C9785D">
        <w:rPr>
          <w:sz w:val="22"/>
          <w:szCs w:val="22"/>
        </w:rPr>
        <w:t xml:space="preserve">. Dedza district – Total </w:t>
      </w:r>
      <w:r w:rsidR="00340769">
        <w:rPr>
          <w:sz w:val="22"/>
          <w:szCs w:val="22"/>
        </w:rPr>
        <w:t xml:space="preserve">Recurrent </w:t>
      </w:r>
      <w:r w:rsidRPr="00C9785D">
        <w:rPr>
          <w:sz w:val="22"/>
          <w:szCs w:val="22"/>
        </w:rPr>
        <w:t>CHS Program Costs by Category (2015-2025), US $</w:t>
      </w:r>
    </w:p>
    <w:p w:rsidR="00501970" w:rsidRPr="00501970" w:rsidRDefault="00501970" w:rsidP="00572DE2"/>
    <w:p w:rsidR="005A5E22" w:rsidRDefault="005A5E22" w:rsidP="00572DE2">
      <w:pPr>
        <w:jc w:val="center"/>
      </w:pPr>
      <w:r>
        <w:rPr>
          <w:noProof/>
        </w:rPr>
        <w:drawing>
          <wp:inline distT="0" distB="0" distL="0" distR="0" wp14:anchorId="1EFB2DD7" wp14:editId="251A5179">
            <wp:extent cx="5207000" cy="3395133"/>
            <wp:effectExtent l="0" t="0" r="12700" b="1524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F1CCD" w:rsidRPr="00BF1CCD" w:rsidRDefault="00BF1CCD" w:rsidP="00BF1CCD"/>
    <w:p w:rsidR="00940896" w:rsidRDefault="00940896" w:rsidP="00940896">
      <w:pPr>
        <w:rPr>
          <w:b/>
          <w:i/>
        </w:rPr>
      </w:pPr>
      <w:r>
        <w:rPr>
          <w:b/>
          <w:i/>
        </w:rPr>
        <w:t>Financing</w:t>
      </w:r>
    </w:p>
    <w:p w:rsidR="00940896" w:rsidRDefault="00940896" w:rsidP="00940896">
      <w:r>
        <w:t xml:space="preserve">By linking the </w:t>
      </w:r>
      <w:r w:rsidRPr="001A03CA">
        <w:t xml:space="preserve">different financing sources </w:t>
      </w:r>
      <w:r>
        <w:t>to</w:t>
      </w:r>
      <w:r w:rsidRPr="001A03CA">
        <w:t xml:space="preserve"> </w:t>
      </w:r>
      <w:r>
        <w:t xml:space="preserve">each of the </w:t>
      </w:r>
      <w:r w:rsidRPr="001A03CA">
        <w:t>cost elements</w:t>
      </w:r>
      <w:r>
        <w:t xml:space="preserve">, the tool can be used to estimate the required financing and financing gaps of the CHS program in future years. These results can be used to facilitate the efforts of program planners in creating investment cases and advocating for the necessary domestic and/or external financial resources (e.g. through </w:t>
      </w:r>
      <w:r w:rsidRPr="001A03CA">
        <w:t>the Global Fund to Fight AIDS, Tuberculosis, and Malaria and the Global Financing Facility</w:t>
      </w:r>
      <w:r>
        <w:t>). This analysis was not conducted in Malawi for the piloting due to a lack of detailed financing data at that time.</w:t>
      </w:r>
    </w:p>
    <w:p w:rsidR="00461D0D" w:rsidRDefault="00461D0D" w:rsidP="00BF1CCD">
      <w:pPr>
        <w:rPr>
          <w:b/>
          <w:i/>
        </w:rPr>
      </w:pPr>
    </w:p>
    <w:p w:rsidR="00BF1CCD" w:rsidRPr="004A05FB" w:rsidRDefault="00BF1CCD" w:rsidP="00BF1CCD">
      <w:pPr>
        <w:rPr>
          <w:b/>
          <w:i/>
        </w:rPr>
      </w:pPr>
      <w:r w:rsidRPr="004A05FB">
        <w:rPr>
          <w:b/>
          <w:i/>
        </w:rPr>
        <w:t>Bottlenecks to Service Delivery</w:t>
      </w:r>
    </w:p>
    <w:p w:rsidR="00D3544A" w:rsidRDefault="00D3544A" w:rsidP="00BF1CCD">
      <w:r>
        <w:t>T</w:t>
      </w:r>
      <w:r w:rsidR="0058775E">
        <w:t xml:space="preserve">here were a number of bottlenecks identified which </w:t>
      </w:r>
      <w:r w:rsidR="0058775E" w:rsidRPr="0058775E">
        <w:t xml:space="preserve">are likely to impede the expansion </w:t>
      </w:r>
      <w:r w:rsidR="0058775E">
        <w:t xml:space="preserve">and </w:t>
      </w:r>
      <w:r w:rsidR="0058775E" w:rsidRPr="0058775E">
        <w:t xml:space="preserve">utilization of the full package of </w:t>
      </w:r>
      <w:r w:rsidR="0058775E">
        <w:t xml:space="preserve">quality CHS among </w:t>
      </w:r>
      <w:r>
        <w:t>the targeted h</w:t>
      </w:r>
      <w:r w:rsidR="0058775E">
        <w:t xml:space="preserve">ard-to-reach </w:t>
      </w:r>
      <w:r>
        <w:t>populations</w:t>
      </w:r>
      <w:r w:rsidR="0058775E">
        <w:t>. T</w:t>
      </w:r>
      <w:r w:rsidR="0058775E" w:rsidRPr="0058775E">
        <w:t xml:space="preserve">he initial utilization of </w:t>
      </w:r>
      <w:r w:rsidR="0082649C">
        <w:t>CHS</w:t>
      </w:r>
      <w:r>
        <w:t xml:space="preserve"> was relatively low</w:t>
      </w:r>
      <w:r w:rsidR="0058775E" w:rsidRPr="0058775E">
        <w:t>, with s</w:t>
      </w:r>
      <w:r>
        <w:t>ome services not utilized at all</w:t>
      </w:r>
      <w:r w:rsidR="00461D0D">
        <w:t>,</w:t>
      </w:r>
      <w:r>
        <w:t xml:space="preserve"> with the exceptions being for malari</w:t>
      </w:r>
      <w:r w:rsidR="0058775E" w:rsidRPr="0058775E">
        <w:t>a and pneumonia treatments and BCG immunizations, which were reportedly higher than the expected need.</w:t>
      </w:r>
      <w:r w:rsidR="0058775E">
        <w:t xml:space="preserve"> </w:t>
      </w:r>
    </w:p>
    <w:p w:rsidR="00D3544A" w:rsidRDefault="00D3544A" w:rsidP="00BF1CCD"/>
    <w:p w:rsidR="00BF1CCD" w:rsidRDefault="004A05FB" w:rsidP="00BF1CCD">
      <w:r>
        <w:t>M</w:t>
      </w:r>
      <w:r w:rsidR="0058775E">
        <w:t xml:space="preserve">any HSAs reported not having functioning bicycles to </w:t>
      </w:r>
      <w:r w:rsidR="006C1B80">
        <w:t xml:space="preserve">facilitate their travel to and within communities. In addition, it was reported that many HSAs, despite receiving </w:t>
      </w:r>
      <w:r w:rsidR="0082649C">
        <w:t xml:space="preserve">an initial </w:t>
      </w:r>
      <w:r w:rsidR="006C1B80">
        <w:t>training, were not trained to provide the full package of CHS (e.g. HIV voluntary counselling and testing).</w:t>
      </w:r>
      <w:r w:rsidR="0082649C">
        <w:t xml:space="preserve"> These bottlenecks may </w:t>
      </w:r>
      <w:r w:rsidR="005C3809">
        <w:t xml:space="preserve">have </w:t>
      </w:r>
      <w:r w:rsidR="00D3544A">
        <w:t xml:space="preserve">impacted and </w:t>
      </w:r>
      <w:r w:rsidR="005C3809">
        <w:t xml:space="preserve">may </w:t>
      </w:r>
      <w:r w:rsidR="00D3544A">
        <w:t xml:space="preserve">continue to contribute to </w:t>
      </w:r>
      <w:r w:rsidR="0082649C">
        <w:t>the under-utilization of HSA services</w:t>
      </w:r>
      <w:r w:rsidR="00D3544A">
        <w:t xml:space="preserve"> in the two districts.</w:t>
      </w:r>
    </w:p>
    <w:p w:rsidR="00BF1CCD" w:rsidRDefault="00BF1CCD" w:rsidP="00834BBA"/>
    <w:p w:rsidR="007631F7" w:rsidRDefault="007631F7" w:rsidP="007631F7">
      <w:pPr>
        <w:pStyle w:val="NoSpacing"/>
      </w:pPr>
    </w:p>
    <w:p w:rsidR="007631F7" w:rsidRDefault="007631F7" w:rsidP="007631F7">
      <w:pPr>
        <w:pStyle w:val="NoSpacing"/>
      </w:pPr>
    </w:p>
    <w:p w:rsidR="007631F7" w:rsidRDefault="007631F7" w:rsidP="007631F7">
      <w:pPr>
        <w:pStyle w:val="NoSpacing"/>
        <w:rPr>
          <w:b/>
          <w:color w:val="17365D" w:themeColor="text2" w:themeShade="BF"/>
        </w:rPr>
      </w:pPr>
    </w:p>
    <w:p w:rsidR="007631F7" w:rsidRDefault="007631F7" w:rsidP="007631F7">
      <w:pPr>
        <w:pStyle w:val="NoSpacing"/>
        <w:rPr>
          <w:b/>
          <w:color w:val="17365D" w:themeColor="text2" w:themeShade="BF"/>
        </w:rPr>
      </w:pPr>
    </w:p>
    <w:p w:rsidR="00E322EE" w:rsidRDefault="00E322EE" w:rsidP="007631F7">
      <w:pPr>
        <w:pStyle w:val="NoSpacing"/>
        <w:rPr>
          <w:b/>
          <w:color w:val="17365D" w:themeColor="text2" w:themeShade="BF"/>
        </w:rPr>
      </w:pPr>
    </w:p>
    <w:p w:rsidR="00E322EE" w:rsidRDefault="00E322EE" w:rsidP="007631F7">
      <w:pPr>
        <w:pStyle w:val="NoSpacing"/>
        <w:rPr>
          <w:b/>
          <w:color w:val="17365D" w:themeColor="text2" w:themeShade="BF"/>
        </w:rPr>
      </w:pPr>
    </w:p>
    <w:p w:rsidR="00E322EE" w:rsidRDefault="00E322EE" w:rsidP="007631F7">
      <w:pPr>
        <w:pStyle w:val="NoSpacing"/>
        <w:rPr>
          <w:b/>
          <w:color w:val="17365D" w:themeColor="text2" w:themeShade="BF"/>
        </w:rPr>
      </w:pPr>
    </w:p>
    <w:p w:rsidR="00E322EE" w:rsidRDefault="00E322EE" w:rsidP="007631F7">
      <w:pPr>
        <w:pStyle w:val="NoSpacing"/>
        <w:rPr>
          <w:b/>
          <w:color w:val="17365D" w:themeColor="text2" w:themeShade="BF"/>
        </w:rPr>
      </w:pPr>
    </w:p>
    <w:p w:rsidR="00A1795C" w:rsidRPr="007631F7" w:rsidRDefault="00A1795C" w:rsidP="007631F7">
      <w:pPr>
        <w:pStyle w:val="NoSpacing"/>
        <w:rPr>
          <w:b/>
          <w:color w:val="548DD4" w:themeColor="text2" w:themeTint="99"/>
        </w:rPr>
      </w:pPr>
      <w:r w:rsidRPr="007631F7">
        <w:rPr>
          <w:b/>
          <w:color w:val="17365D" w:themeColor="text2" w:themeShade="BF"/>
        </w:rPr>
        <w:t>Sierra Leone</w:t>
      </w:r>
    </w:p>
    <w:p w:rsidR="007631F7" w:rsidRDefault="007631F7" w:rsidP="00834BBA">
      <w:pPr>
        <w:rPr>
          <w:iCs/>
        </w:rPr>
      </w:pPr>
    </w:p>
    <w:p w:rsidR="00342050" w:rsidRDefault="003F60CB" w:rsidP="00834BBA">
      <w:pPr>
        <w:rPr>
          <w:iCs/>
        </w:rPr>
      </w:pPr>
      <w:r>
        <w:rPr>
          <w:iCs/>
        </w:rPr>
        <w:t>A</w:t>
      </w:r>
      <w:r w:rsidRPr="005F2F2C">
        <w:rPr>
          <w:iCs/>
        </w:rPr>
        <w:t xml:space="preserve">t the request of the MOHS, </w:t>
      </w:r>
      <w:r>
        <w:rPr>
          <w:iCs/>
        </w:rPr>
        <w:t>MSH conducted a cos</w:t>
      </w:r>
      <w:r w:rsidR="005A5E22">
        <w:rPr>
          <w:iCs/>
        </w:rPr>
        <w:t>t analysis of the 2015 CHS</w:t>
      </w:r>
      <w:r>
        <w:rPr>
          <w:iCs/>
        </w:rPr>
        <w:t xml:space="preserve"> program and </w:t>
      </w:r>
      <w:r w:rsidRPr="005F2F2C">
        <w:rPr>
          <w:iCs/>
        </w:rPr>
        <w:t>modelled the introduction of the revised National CHW Strategy</w:t>
      </w:r>
      <w:r>
        <w:rPr>
          <w:iCs/>
        </w:rPr>
        <w:t xml:space="preserve"> </w:t>
      </w:r>
      <w:r w:rsidRPr="005F2F2C">
        <w:rPr>
          <w:iCs/>
        </w:rPr>
        <w:t>and the corresponding programmatic changes beginning in 2016</w:t>
      </w:r>
      <w:r w:rsidR="0082649C">
        <w:rPr>
          <w:iCs/>
        </w:rPr>
        <w:t xml:space="preserve"> in Bombali and Kono </w:t>
      </w:r>
      <w:r w:rsidR="007D0133">
        <w:rPr>
          <w:iCs/>
        </w:rPr>
        <w:t>district</w:t>
      </w:r>
      <w:r w:rsidR="0082649C">
        <w:rPr>
          <w:iCs/>
        </w:rPr>
        <w:t>s</w:t>
      </w:r>
      <w:r>
        <w:rPr>
          <w:iCs/>
        </w:rPr>
        <w:t xml:space="preserve">. These </w:t>
      </w:r>
      <w:r w:rsidR="0082649C">
        <w:rPr>
          <w:iCs/>
        </w:rPr>
        <w:t xml:space="preserve">programmatic </w:t>
      </w:r>
      <w:r>
        <w:rPr>
          <w:iCs/>
        </w:rPr>
        <w:t xml:space="preserve">changes included </w:t>
      </w:r>
      <w:r w:rsidR="00D3544A">
        <w:rPr>
          <w:iCs/>
        </w:rPr>
        <w:t xml:space="preserve">the introduction of </w:t>
      </w:r>
      <w:r>
        <w:rPr>
          <w:iCs/>
        </w:rPr>
        <w:t>additional trained</w:t>
      </w:r>
      <w:r w:rsidR="0082649C">
        <w:rPr>
          <w:iCs/>
        </w:rPr>
        <w:t xml:space="preserve"> and equipped</w:t>
      </w:r>
      <w:r>
        <w:rPr>
          <w:iCs/>
        </w:rPr>
        <w:t xml:space="preserve"> CHWs, </w:t>
      </w:r>
      <w:r w:rsidR="0007119B">
        <w:rPr>
          <w:iCs/>
        </w:rPr>
        <w:t>the e</w:t>
      </w:r>
      <w:r>
        <w:rPr>
          <w:iCs/>
        </w:rPr>
        <w:t xml:space="preserve">xpanded geographic coverage of CHWs </w:t>
      </w:r>
      <w:r w:rsidR="0007119B">
        <w:rPr>
          <w:iCs/>
        </w:rPr>
        <w:t>(</w:t>
      </w:r>
      <w:r>
        <w:rPr>
          <w:iCs/>
        </w:rPr>
        <w:t xml:space="preserve">to cover 100 percent of </w:t>
      </w:r>
      <w:r w:rsidR="0007119B">
        <w:rPr>
          <w:iCs/>
        </w:rPr>
        <w:t xml:space="preserve">the districts’ </w:t>
      </w:r>
      <w:r>
        <w:rPr>
          <w:iCs/>
        </w:rPr>
        <w:t>population</w:t>
      </w:r>
      <w:r w:rsidR="0007119B">
        <w:rPr>
          <w:iCs/>
        </w:rPr>
        <w:t>)</w:t>
      </w:r>
      <w:r>
        <w:rPr>
          <w:iCs/>
        </w:rPr>
        <w:t>,</w:t>
      </w:r>
      <w:r w:rsidR="00D3544A">
        <w:rPr>
          <w:iCs/>
        </w:rPr>
        <w:t xml:space="preserve"> and the inclusion of</w:t>
      </w:r>
      <w:r>
        <w:rPr>
          <w:iCs/>
        </w:rPr>
        <w:t xml:space="preserve"> additional health services</w:t>
      </w:r>
      <w:r w:rsidR="00BF1CCD">
        <w:rPr>
          <w:iCs/>
        </w:rPr>
        <w:t xml:space="preserve"> as part of the new </w:t>
      </w:r>
      <w:r w:rsidR="00D3544A">
        <w:rPr>
          <w:iCs/>
        </w:rPr>
        <w:t xml:space="preserve">CHS </w:t>
      </w:r>
      <w:r w:rsidR="00BF1CCD">
        <w:rPr>
          <w:iCs/>
        </w:rPr>
        <w:t>package</w:t>
      </w:r>
      <w:r>
        <w:rPr>
          <w:iCs/>
        </w:rPr>
        <w:t xml:space="preserve">, </w:t>
      </w:r>
      <w:r w:rsidR="00D3544A">
        <w:rPr>
          <w:iCs/>
        </w:rPr>
        <w:t>as well as</w:t>
      </w:r>
      <w:r>
        <w:rPr>
          <w:iCs/>
        </w:rPr>
        <w:t xml:space="preserve"> a substantial increase in financial incentives. The costs of CHW </w:t>
      </w:r>
      <w:r w:rsidR="00BF1CCD">
        <w:rPr>
          <w:iCs/>
        </w:rPr>
        <w:t>management, training,</w:t>
      </w:r>
      <w:r>
        <w:rPr>
          <w:iCs/>
        </w:rPr>
        <w:t xml:space="preserve"> supervision</w:t>
      </w:r>
      <w:r w:rsidR="0082649C">
        <w:rPr>
          <w:iCs/>
        </w:rPr>
        <w:t>, and equipment</w:t>
      </w:r>
      <w:r w:rsidR="00BF1CCD">
        <w:rPr>
          <w:iCs/>
        </w:rPr>
        <w:t xml:space="preserve"> also increased consider</w:t>
      </w:r>
      <w:r w:rsidR="0007119B">
        <w:rPr>
          <w:iCs/>
        </w:rPr>
        <w:t>ably compared to</w:t>
      </w:r>
      <w:r w:rsidR="0082649C">
        <w:rPr>
          <w:iCs/>
        </w:rPr>
        <w:t xml:space="preserve"> the</w:t>
      </w:r>
      <w:r w:rsidR="0007119B">
        <w:rPr>
          <w:iCs/>
        </w:rPr>
        <w:t xml:space="preserve"> 2015 </w:t>
      </w:r>
      <w:r w:rsidR="0082649C">
        <w:rPr>
          <w:iCs/>
        </w:rPr>
        <w:t>cost estimates.</w:t>
      </w:r>
    </w:p>
    <w:p w:rsidR="003F60CB" w:rsidRDefault="003F60CB" w:rsidP="00834BBA"/>
    <w:p w:rsidR="00342050" w:rsidRPr="004A05FB" w:rsidRDefault="00FA3A23" w:rsidP="00834BBA">
      <w:pPr>
        <w:rPr>
          <w:b/>
          <w:i/>
        </w:rPr>
      </w:pPr>
      <w:r w:rsidRPr="004A05FB">
        <w:rPr>
          <w:b/>
          <w:i/>
        </w:rPr>
        <w:t>Service Utilization</w:t>
      </w:r>
    </w:p>
    <w:p w:rsidR="0007119B" w:rsidRDefault="0082649C" w:rsidP="00EC7A0E">
      <w:r>
        <w:t>In 2015,</w:t>
      </w:r>
      <w:r w:rsidR="0007119B">
        <w:t xml:space="preserve"> </w:t>
      </w:r>
      <w:r w:rsidR="00E67E61">
        <w:t>CHWs</w:t>
      </w:r>
      <w:r w:rsidR="0007119B">
        <w:t xml:space="preserve"> </w:t>
      </w:r>
      <w:r w:rsidR="00E67E61">
        <w:t>were</w:t>
      </w:r>
      <w:r w:rsidR="0007119B" w:rsidRPr="00342050">
        <w:t xml:space="preserve"> under-utilized </w:t>
      </w:r>
      <w:r w:rsidR="0007119B">
        <w:t>– i</w:t>
      </w:r>
      <w:r w:rsidR="0007119B" w:rsidRPr="00342050">
        <w:t xml:space="preserve">n Bombali </w:t>
      </w:r>
      <w:r w:rsidR="00E67E61">
        <w:t>d</w:t>
      </w:r>
      <w:r w:rsidR="0007119B" w:rsidRPr="00342050">
        <w:t xml:space="preserve">istrict, CHWs spent an estimated five percent of their time (based on an estimated 20 working hours per week) providing nine of the 42 services included in the package of CHS </w:t>
      </w:r>
      <w:r w:rsidR="0007119B">
        <w:t>while CHWs i</w:t>
      </w:r>
      <w:r w:rsidR="00E67E61">
        <w:t>n Kono d</w:t>
      </w:r>
      <w:r w:rsidR="0007119B" w:rsidRPr="00342050">
        <w:t>istrict</w:t>
      </w:r>
      <w:r w:rsidR="0007119B">
        <w:t xml:space="preserve"> spent</w:t>
      </w:r>
      <w:r w:rsidR="0007119B" w:rsidRPr="00342050">
        <w:t xml:space="preserve"> an estimated eight percent of their time providing 10 of the 42 s</w:t>
      </w:r>
      <w:r w:rsidR="0007119B">
        <w:t xml:space="preserve">ervices. </w:t>
      </w:r>
      <w:r w:rsidR="007631F7">
        <w:t xml:space="preserve"> </w:t>
      </w:r>
      <w:r w:rsidR="0007119B">
        <w:t xml:space="preserve">Among the two districts, there </w:t>
      </w:r>
      <w:r w:rsidR="00EC7A0E" w:rsidRPr="00EC7A0E">
        <w:t xml:space="preserve">were significant variations in </w:t>
      </w:r>
      <w:r w:rsidR="0007119B">
        <w:t>the package of CHS offered.</w:t>
      </w:r>
      <w:r w:rsidR="00E67E61">
        <w:t xml:space="preserve"> </w:t>
      </w:r>
      <w:r>
        <w:t xml:space="preserve">In Bombali </w:t>
      </w:r>
      <w:r w:rsidR="00E67E61">
        <w:t>d</w:t>
      </w:r>
      <w:r>
        <w:t>istrict</w:t>
      </w:r>
      <w:r w:rsidR="00D61D2C">
        <w:t xml:space="preserve"> (</w:t>
      </w:r>
      <w:r w:rsidR="007D0133">
        <w:t>Figure 3</w:t>
      </w:r>
      <w:r w:rsidR="00D61D2C">
        <w:t>)</w:t>
      </w:r>
      <w:r>
        <w:t xml:space="preserve">, </w:t>
      </w:r>
      <w:r w:rsidR="0007119B">
        <w:t>CHWs</w:t>
      </w:r>
      <w:r w:rsidR="00EC7A0E" w:rsidRPr="00EC7A0E">
        <w:t xml:space="preserve"> did not provide </w:t>
      </w:r>
      <w:r w:rsidR="0007119B">
        <w:t>iCCM</w:t>
      </w:r>
      <w:r w:rsidR="00EC7A0E" w:rsidRPr="00EC7A0E">
        <w:t xml:space="preserve"> treatments and the majority of se</w:t>
      </w:r>
      <w:r w:rsidR="00E67E61">
        <w:t>rvices provided were for MNCH (A</w:t>
      </w:r>
      <w:r w:rsidR="00EC7A0E" w:rsidRPr="00EC7A0E">
        <w:t xml:space="preserve">NC and PNC promotional home visits) and iCCM referrals. In Kono </w:t>
      </w:r>
      <w:r w:rsidR="007D0133">
        <w:t>district</w:t>
      </w:r>
      <w:r w:rsidR="00EC7A0E" w:rsidRPr="00EC7A0E">
        <w:t xml:space="preserve"> in 2015, the majority of services were for iCCM and MNCH. </w:t>
      </w:r>
    </w:p>
    <w:p w:rsidR="00EC7A0E" w:rsidRDefault="00EC7A0E" w:rsidP="00EC7A0E"/>
    <w:p w:rsidR="0007119B" w:rsidRDefault="0007119B" w:rsidP="0007119B">
      <w:r>
        <w:t xml:space="preserve">For the purpose of modelling (2016-2025), </w:t>
      </w:r>
      <w:r w:rsidR="0082649C">
        <w:t xml:space="preserve">the </w:t>
      </w:r>
      <w:r>
        <w:t>c</w:t>
      </w:r>
      <w:r w:rsidRPr="0007119B">
        <w:t>overage rate</w:t>
      </w:r>
      <w:r w:rsidR="0082649C">
        <w:t xml:space="preserve">s </w:t>
      </w:r>
      <w:r w:rsidRPr="0007119B">
        <w:t>increased by 20 percent per year for the majority</w:t>
      </w:r>
      <w:r w:rsidR="00461D0D">
        <w:t xml:space="preserve"> of</w:t>
      </w:r>
      <w:r w:rsidRPr="0007119B">
        <w:t xml:space="preserve"> services in the package (with the exception of third ANC promotional visits as well as refills of male condom distribution and oral contraceptives which rema</w:t>
      </w:r>
      <w:r>
        <w:t xml:space="preserve">ined at three percent coverage). </w:t>
      </w:r>
      <w:r w:rsidRPr="0007119B">
        <w:t xml:space="preserve">For all services with reported 100 percent </w:t>
      </w:r>
      <w:r>
        <w:t>coverage in 2015, no increase was</w:t>
      </w:r>
      <w:r w:rsidRPr="0007119B">
        <w:t xml:space="preserve"> calculated. </w:t>
      </w:r>
      <w:r w:rsidRPr="00EC7A0E">
        <w:t>By 2025, the majority of services</w:t>
      </w:r>
      <w:r w:rsidR="00E67E61">
        <w:t xml:space="preserve"> provided</w:t>
      </w:r>
      <w:r w:rsidRPr="00EC7A0E">
        <w:t xml:space="preserve"> would be for iCCM and adult malaria case management. </w:t>
      </w:r>
    </w:p>
    <w:p w:rsidR="007631F7" w:rsidRDefault="007631F7" w:rsidP="00572DE2">
      <w:pPr>
        <w:pStyle w:val="Caption"/>
        <w:keepNext/>
        <w:jc w:val="center"/>
        <w:rPr>
          <w:sz w:val="22"/>
          <w:szCs w:val="22"/>
        </w:rPr>
      </w:pPr>
    </w:p>
    <w:p w:rsidR="007D0133" w:rsidRDefault="007D0133" w:rsidP="00572DE2">
      <w:pPr>
        <w:pStyle w:val="Caption"/>
        <w:keepNext/>
        <w:jc w:val="center"/>
        <w:rPr>
          <w:sz w:val="22"/>
          <w:szCs w:val="22"/>
        </w:rPr>
      </w:pPr>
      <w:r w:rsidRPr="00C9785D">
        <w:rPr>
          <w:sz w:val="22"/>
          <w:szCs w:val="22"/>
        </w:rPr>
        <w:t xml:space="preserve">Figure </w:t>
      </w:r>
      <w:r w:rsidRPr="00C9785D">
        <w:rPr>
          <w:sz w:val="22"/>
          <w:szCs w:val="22"/>
        </w:rPr>
        <w:fldChar w:fldCharType="begin"/>
      </w:r>
      <w:r w:rsidRPr="00C9785D">
        <w:rPr>
          <w:sz w:val="22"/>
          <w:szCs w:val="22"/>
        </w:rPr>
        <w:instrText xml:space="preserve"> SEQ Figure \* ARABIC </w:instrText>
      </w:r>
      <w:r w:rsidRPr="00C9785D">
        <w:rPr>
          <w:sz w:val="22"/>
          <w:szCs w:val="22"/>
        </w:rPr>
        <w:fldChar w:fldCharType="separate"/>
      </w:r>
      <w:r w:rsidR="00340769">
        <w:rPr>
          <w:noProof/>
          <w:sz w:val="22"/>
          <w:szCs w:val="22"/>
        </w:rPr>
        <w:t>3</w:t>
      </w:r>
      <w:r w:rsidRPr="00C9785D">
        <w:rPr>
          <w:sz w:val="22"/>
          <w:szCs w:val="22"/>
        </w:rPr>
        <w:fldChar w:fldCharType="end"/>
      </w:r>
      <w:r w:rsidRPr="00C9785D">
        <w:rPr>
          <w:sz w:val="22"/>
          <w:szCs w:val="22"/>
        </w:rPr>
        <w:t>. Bombali district - Total Number of CHS by Program (2015-2025)</w:t>
      </w:r>
    </w:p>
    <w:p w:rsidR="00501970" w:rsidRPr="00501970" w:rsidRDefault="00501970" w:rsidP="00572DE2"/>
    <w:p w:rsidR="005C3809" w:rsidRDefault="00D61D2C" w:rsidP="00572DE2">
      <w:pPr>
        <w:jc w:val="center"/>
      </w:pPr>
      <w:r>
        <w:rPr>
          <w:noProof/>
        </w:rPr>
        <w:drawing>
          <wp:inline distT="0" distB="0" distL="0" distR="0" wp14:anchorId="4015558E" wp14:editId="0D801084">
            <wp:extent cx="5113867" cy="3344333"/>
            <wp:effectExtent l="0" t="0" r="10795" b="2794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C3809" w:rsidRDefault="005C3809" w:rsidP="0007119B"/>
    <w:p w:rsidR="00342050" w:rsidRPr="004A05FB" w:rsidRDefault="00F91C96" w:rsidP="00342050">
      <w:pPr>
        <w:rPr>
          <w:b/>
          <w:i/>
        </w:rPr>
      </w:pPr>
      <w:r w:rsidRPr="004A05FB">
        <w:rPr>
          <w:b/>
          <w:i/>
        </w:rPr>
        <w:t xml:space="preserve">Program </w:t>
      </w:r>
      <w:r w:rsidR="00342050" w:rsidRPr="004A05FB">
        <w:rPr>
          <w:b/>
          <w:i/>
        </w:rPr>
        <w:t xml:space="preserve">Costs </w:t>
      </w:r>
    </w:p>
    <w:p w:rsidR="00594439" w:rsidRDefault="00594439" w:rsidP="00594439">
      <w:r>
        <w:t>In 2015, the total costs of the programs were US $</w:t>
      </w:r>
      <w:r w:rsidRPr="00594439">
        <w:t>659,263</w:t>
      </w:r>
      <w:r>
        <w:t xml:space="preserve"> and US $</w:t>
      </w:r>
      <w:r w:rsidRPr="00594439">
        <w:t xml:space="preserve">495,332 </w:t>
      </w:r>
      <w:r>
        <w:t>in Bombali and Kono, respectively. T</w:t>
      </w:r>
      <w:r w:rsidRPr="00BF1CCD">
        <w:t xml:space="preserve">he </w:t>
      </w:r>
      <w:r>
        <w:t>categories of</w:t>
      </w:r>
      <w:r w:rsidRPr="00BF1CCD">
        <w:t xml:space="preserve"> </w:t>
      </w:r>
      <w:r>
        <w:t>services</w:t>
      </w:r>
      <w:r w:rsidRPr="00BF1CCD">
        <w:t xml:space="preserve"> </w:t>
      </w:r>
      <w:r>
        <w:t xml:space="preserve">with </w:t>
      </w:r>
      <w:r w:rsidRPr="00BF1CCD">
        <w:t>highest costs wer</w:t>
      </w:r>
      <w:r>
        <w:t>e iCCM and disease prevention and control p</w:t>
      </w:r>
      <w:r w:rsidRPr="00BF1CCD">
        <w:t>lanning</w:t>
      </w:r>
      <w:r>
        <w:t xml:space="preserve"> while the main programmatic cost-driver </w:t>
      </w:r>
      <w:r w:rsidRPr="00BF1CCD">
        <w:t xml:space="preserve">in the two districts </w:t>
      </w:r>
      <w:r>
        <w:t>was</w:t>
      </w:r>
      <w:r w:rsidRPr="00BF1CCD">
        <w:t xml:space="preserve"> </w:t>
      </w:r>
      <w:r>
        <w:t>program management.</w:t>
      </w:r>
      <w:r w:rsidRPr="007D0133">
        <w:t xml:space="preserve"> </w:t>
      </w:r>
      <w:r w:rsidRPr="00BF1CCD">
        <w:t xml:space="preserve">The average cost per capita in 2015 for the two districts was </w:t>
      </w:r>
      <w:r>
        <w:t xml:space="preserve">US $3.92 in Bombali and US $2.48 in Kono which were also </w:t>
      </w:r>
      <w:r w:rsidRPr="00BF1CCD">
        <w:t xml:space="preserve">relatively low </w:t>
      </w:r>
      <w:r>
        <w:t xml:space="preserve">due to the </w:t>
      </w:r>
      <w:r w:rsidRPr="00BF1CCD">
        <w:t xml:space="preserve">under-utilization of </w:t>
      </w:r>
      <w:r>
        <w:t>services</w:t>
      </w:r>
      <w:r w:rsidRPr="00BF1CCD">
        <w:t>.</w:t>
      </w:r>
    </w:p>
    <w:p w:rsidR="00594439" w:rsidRDefault="00594439" w:rsidP="00594439"/>
    <w:p w:rsidR="00594439" w:rsidRDefault="00594439" w:rsidP="00594439">
      <w:r>
        <w:t>By 2025, due to increases in service utilization, the total program costs would amount to US $</w:t>
      </w:r>
      <w:r w:rsidRPr="00594439">
        <w:t xml:space="preserve">2,405,948 </w:t>
      </w:r>
      <w:r>
        <w:t>and</w:t>
      </w:r>
      <w:r w:rsidRPr="007D0133">
        <w:t xml:space="preserve"> </w:t>
      </w:r>
      <w:r>
        <w:t>US $</w:t>
      </w:r>
      <w:r w:rsidRPr="00594439">
        <w:t xml:space="preserve">2,701,878 </w:t>
      </w:r>
      <w:r>
        <w:t xml:space="preserve">in Bombali and Kono, respectively. </w:t>
      </w:r>
      <w:r w:rsidRPr="00BF1CCD">
        <w:t xml:space="preserve">With the projected increases in </w:t>
      </w:r>
      <w:r>
        <w:t xml:space="preserve">service </w:t>
      </w:r>
      <w:r w:rsidRPr="00BF1CCD">
        <w:t xml:space="preserve">utilization, the cost per capita would increase to </w:t>
      </w:r>
      <w:r>
        <w:t>US $3.81</w:t>
      </w:r>
      <w:r w:rsidRPr="00BF1CCD">
        <w:t xml:space="preserve"> i</w:t>
      </w:r>
      <w:r>
        <w:t>n Bombali</w:t>
      </w:r>
      <w:r w:rsidRPr="00BF1CCD">
        <w:t xml:space="preserve"> and </w:t>
      </w:r>
      <w:r>
        <w:t>US $4.07</w:t>
      </w:r>
      <w:r w:rsidRPr="00BF1CCD">
        <w:t xml:space="preserve"> in </w:t>
      </w:r>
      <w:r>
        <w:t>Kono by 2025. T</w:t>
      </w:r>
      <w:r w:rsidRPr="00BF1CCD">
        <w:t>he programs with the highest costs in 2025 would be</w:t>
      </w:r>
      <w:r>
        <w:t xml:space="preserve"> iCCM followed by</w:t>
      </w:r>
      <w:r w:rsidRPr="00BF1CCD">
        <w:t xml:space="preserve"> </w:t>
      </w:r>
      <w:r>
        <w:t>adult malaria case management</w:t>
      </w:r>
      <w:r w:rsidRPr="00BF1CCD">
        <w:t xml:space="preserve">. </w:t>
      </w:r>
      <w:r>
        <w:t>By 2025,</w:t>
      </w:r>
      <w:r w:rsidRPr="00BF1CCD">
        <w:t xml:space="preserve"> </w:t>
      </w:r>
      <w:r>
        <w:t>the majority of</w:t>
      </w:r>
      <w:r w:rsidRPr="00BF1CCD">
        <w:t xml:space="preserve"> the costs would be for medicines, supplies</w:t>
      </w:r>
      <w:r>
        <w:t>,</w:t>
      </w:r>
      <w:r w:rsidRPr="00BF1CCD">
        <w:t xml:space="preserve"> and commodities</w:t>
      </w:r>
      <w:r>
        <w:t xml:space="preserve"> (Figure 4).</w:t>
      </w:r>
    </w:p>
    <w:p w:rsidR="00342050" w:rsidRDefault="00342050" w:rsidP="00342050"/>
    <w:p w:rsidR="00594439" w:rsidRDefault="00594439" w:rsidP="00572DE2">
      <w:pPr>
        <w:pStyle w:val="Caption"/>
        <w:keepNext/>
        <w:jc w:val="center"/>
        <w:rPr>
          <w:sz w:val="22"/>
          <w:szCs w:val="22"/>
        </w:rPr>
      </w:pPr>
      <w:r w:rsidRPr="00C9785D">
        <w:rPr>
          <w:sz w:val="22"/>
          <w:szCs w:val="22"/>
        </w:rPr>
        <w:t xml:space="preserve">Figure </w:t>
      </w:r>
      <w:r w:rsidRPr="00C9785D">
        <w:rPr>
          <w:sz w:val="22"/>
          <w:szCs w:val="22"/>
        </w:rPr>
        <w:fldChar w:fldCharType="begin"/>
      </w:r>
      <w:r w:rsidRPr="00C9785D">
        <w:rPr>
          <w:sz w:val="22"/>
          <w:szCs w:val="22"/>
        </w:rPr>
        <w:instrText xml:space="preserve"> SEQ Figure \* ARABIC </w:instrText>
      </w:r>
      <w:r w:rsidRPr="00C9785D">
        <w:rPr>
          <w:sz w:val="22"/>
          <w:szCs w:val="22"/>
        </w:rPr>
        <w:fldChar w:fldCharType="separate"/>
      </w:r>
      <w:r w:rsidR="00340769">
        <w:rPr>
          <w:noProof/>
          <w:sz w:val="22"/>
          <w:szCs w:val="22"/>
        </w:rPr>
        <w:t>4</w:t>
      </w:r>
      <w:r w:rsidRPr="00C9785D">
        <w:rPr>
          <w:sz w:val="22"/>
          <w:szCs w:val="22"/>
        </w:rPr>
        <w:fldChar w:fldCharType="end"/>
      </w:r>
      <w:r w:rsidRPr="00C9785D">
        <w:rPr>
          <w:sz w:val="22"/>
          <w:szCs w:val="22"/>
        </w:rPr>
        <w:t xml:space="preserve">. Bombali district - Total </w:t>
      </w:r>
      <w:r w:rsidR="00340769">
        <w:rPr>
          <w:sz w:val="22"/>
          <w:szCs w:val="22"/>
        </w:rPr>
        <w:t xml:space="preserve">Recurrent </w:t>
      </w:r>
      <w:r w:rsidRPr="00C9785D">
        <w:rPr>
          <w:sz w:val="22"/>
          <w:szCs w:val="22"/>
        </w:rPr>
        <w:t>CHS Program Costs by Category (2015-2025), US $</w:t>
      </w:r>
    </w:p>
    <w:p w:rsidR="00501970" w:rsidRPr="00501970" w:rsidRDefault="00501970" w:rsidP="00572DE2"/>
    <w:p w:rsidR="00D61D2C" w:rsidRDefault="00D61D2C" w:rsidP="00572DE2">
      <w:pPr>
        <w:jc w:val="center"/>
      </w:pPr>
      <w:r>
        <w:rPr>
          <w:noProof/>
        </w:rPr>
        <w:drawing>
          <wp:inline distT="0" distB="0" distL="0" distR="0" wp14:anchorId="0F96E9EA" wp14:editId="2B987506">
            <wp:extent cx="5334000" cy="3505200"/>
            <wp:effectExtent l="0" t="0" r="19050"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61D2C" w:rsidRPr="00342050" w:rsidRDefault="00D61D2C" w:rsidP="00342050"/>
    <w:p w:rsidR="00E01DED" w:rsidRDefault="00E01DED" w:rsidP="00676612">
      <w:pPr>
        <w:rPr>
          <w:b/>
          <w:i/>
        </w:rPr>
      </w:pPr>
      <w:r>
        <w:rPr>
          <w:b/>
          <w:i/>
        </w:rPr>
        <w:t>Financing</w:t>
      </w:r>
    </w:p>
    <w:p w:rsidR="00E01DED" w:rsidRDefault="00340769" w:rsidP="00676612">
      <w:r>
        <w:t xml:space="preserve">By linking the </w:t>
      </w:r>
      <w:r w:rsidRPr="001A03CA">
        <w:t xml:space="preserve">different financing sources </w:t>
      </w:r>
      <w:r>
        <w:t>to</w:t>
      </w:r>
      <w:r w:rsidRPr="001A03CA">
        <w:t xml:space="preserve"> </w:t>
      </w:r>
      <w:r>
        <w:t xml:space="preserve">each of the </w:t>
      </w:r>
      <w:r w:rsidRPr="001A03CA">
        <w:t>cost elements</w:t>
      </w:r>
      <w:r>
        <w:t xml:space="preserve">, the tool can </w:t>
      </w:r>
      <w:r w:rsidR="00594439">
        <w:t xml:space="preserve">be used </w:t>
      </w:r>
      <w:r w:rsidR="001A03CA">
        <w:t>to estimate the</w:t>
      </w:r>
      <w:r w:rsidR="00594439">
        <w:t xml:space="preserve"> required financing and</w:t>
      </w:r>
      <w:r w:rsidR="001A03CA">
        <w:t xml:space="preserve"> financing gaps of the CHS program in future years. These results can be used to facilitate the efforts of program planners in</w:t>
      </w:r>
      <w:r>
        <w:t xml:space="preserve"> creating investment cases and</w:t>
      </w:r>
      <w:r w:rsidR="001A03CA">
        <w:t xml:space="preserve"> advocating for the necessary domestic and/or external financial resources (e.g. through </w:t>
      </w:r>
      <w:r w:rsidR="001A03CA" w:rsidRPr="001A03CA">
        <w:t>the Global Fund to Fight AIDS, Tuberculosis, and Malaria and the Global Financing Facility</w:t>
      </w:r>
      <w:r w:rsidR="001A03CA">
        <w:t>).</w:t>
      </w:r>
      <w:r>
        <w:t xml:space="preserve"> An illustrative financing scenario is included </w:t>
      </w:r>
      <w:r w:rsidR="00940896">
        <w:t>in Figure 4.</w:t>
      </w:r>
    </w:p>
    <w:p w:rsidR="001A03CA" w:rsidRDefault="001A03CA" w:rsidP="00676612"/>
    <w:p w:rsidR="00501970" w:rsidRDefault="00501970" w:rsidP="00BB29C2">
      <w:pPr>
        <w:pStyle w:val="Caption"/>
        <w:keepNext/>
        <w:rPr>
          <w:sz w:val="22"/>
          <w:szCs w:val="22"/>
        </w:rPr>
      </w:pPr>
    </w:p>
    <w:p w:rsidR="00E322EE" w:rsidRDefault="00E322EE" w:rsidP="00572DE2">
      <w:pPr>
        <w:pStyle w:val="Caption"/>
        <w:keepNext/>
        <w:jc w:val="center"/>
        <w:rPr>
          <w:sz w:val="22"/>
          <w:szCs w:val="22"/>
        </w:rPr>
      </w:pPr>
    </w:p>
    <w:p w:rsidR="00340769" w:rsidRDefault="00340769" w:rsidP="00572DE2">
      <w:pPr>
        <w:pStyle w:val="Caption"/>
        <w:keepNext/>
        <w:jc w:val="center"/>
        <w:rPr>
          <w:sz w:val="22"/>
          <w:szCs w:val="22"/>
        </w:rPr>
      </w:pPr>
      <w:r w:rsidRPr="00BB29C2">
        <w:rPr>
          <w:sz w:val="22"/>
          <w:szCs w:val="22"/>
        </w:rPr>
        <w:t xml:space="preserve">Figure </w:t>
      </w:r>
      <w:r w:rsidRPr="00BB29C2">
        <w:rPr>
          <w:sz w:val="22"/>
          <w:szCs w:val="22"/>
        </w:rPr>
        <w:fldChar w:fldCharType="begin"/>
      </w:r>
      <w:r w:rsidRPr="00BB29C2">
        <w:rPr>
          <w:sz w:val="22"/>
          <w:szCs w:val="22"/>
        </w:rPr>
        <w:instrText xml:space="preserve"> SEQ Figure \* ARABIC </w:instrText>
      </w:r>
      <w:r w:rsidRPr="00BB29C2">
        <w:rPr>
          <w:sz w:val="22"/>
          <w:szCs w:val="22"/>
        </w:rPr>
        <w:fldChar w:fldCharType="separate"/>
      </w:r>
      <w:r w:rsidRPr="00BB29C2">
        <w:rPr>
          <w:noProof/>
          <w:sz w:val="22"/>
          <w:szCs w:val="22"/>
        </w:rPr>
        <w:t>5</w:t>
      </w:r>
      <w:r w:rsidRPr="00BB29C2">
        <w:rPr>
          <w:sz w:val="22"/>
          <w:szCs w:val="22"/>
        </w:rPr>
        <w:fldChar w:fldCharType="end"/>
      </w:r>
      <w:r w:rsidRPr="00BB29C2">
        <w:rPr>
          <w:sz w:val="22"/>
          <w:szCs w:val="22"/>
        </w:rPr>
        <w:t xml:space="preserve">. Bombali district </w:t>
      </w:r>
      <w:r>
        <w:rPr>
          <w:sz w:val="22"/>
          <w:szCs w:val="22"/>
        </w:rPr>
        <w:t>–</w:t>
      </w:r>
      <w:r w:rsidRPr="00BB29C2">
        <w:rPr>
          <w:sz w:val="22"/>
          <w:szCs w:val="22"/>
        </w:rPr>
        <w:t xml:space="preserve"> </w:t>
      </w:r>
      <w:r>
        <w:rPr>
          <w:sz w:val="22"/>
          <w:szCs w:val="22"/>
        </w:rPr>
        <w:t>Illustrative f</w:t>
      </w:r>
      <w:r w:rsidRPr="00BB29C2">
        <w:rPr>
          <w:sz w:val="22"/>
          <w:szCs w:val="22"/>
        </w:rPr>
        <w:t>inancing projections by source and gap (2016-2025)</w:t>
      </w:r>
      <w:r>
        <w:rPr>
          <w:sz w:val="22"/>
          <w:szCs w:val="22"/>
        </w:rPr>
        <w:t>, US $</w:t>
      </w:r>
    </w:p>
    <w:p w:rsidR="00501970" w:rsidRPr="00501970" w:rsidRDefault="00501970" w:rsidP="00572DE2"/>
    <w:p w:rsidR="001A03CA" w:rsidRDefault="001A03CA" w:rsidP="00572DE2">
      <w:pPr>
        <w:jc w:val="center"/>
      </w:pPr>
      <w:r>
        <w:rPr>
          <w:noProof/>
        </w:rPr>
        <w:drawing>
          <wp:inline distT="0" distB="0" distL="0" distR="0" wp14:anchorId="505C2EAD" wp14:editId="7B777A6F">
            <wp:extent cx="5156200" cy="3327400"/>
            <wp:effectExtent l="0" t="0" r="25400" b="2540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A03CA" w:rsidRPr="00BB29C2" w:rsidRDefault="001A03CA" w:rsidP="00676612"/>
    <w:p w:rsidR="00C1122F" w:rsidRPr="004A05FB" w:rsidRDefault="00C1122F" w:rsidP="00676612">
      <w:pPr>
        <w:rPr>
          <w:b/>
          <w:i/>
        </w:rPr>
      </w:pPr>
      <w:r w:rsidRPr="004A05FB">
        <w:rPr>
          <w:b/>
          <w:i/>
        </w:rPr>
        <w:t>Bottlenecks</w:t>
      </w:r>
      <w:r w:rsidR="002600C8" w:rsidRPr="004A05FB">
        <w:rPr>
          <w:b/>
          <w:i/>
        </w:rPr>
        <w:t xml:space="preserve"> to Service Delivery</w:t>
      </w:r>
    </w:p>
    <w:p w:rsidR="005A5E22" w:rsidRDefault="005A5E22" w:rsidP="005A5E22">
      <w:r>
        <w:t>In 2015,</w:t>
      </w:r>
      <w:r w:rsidRPr="00E67E61">
        <w:t xml:space="preserve"> more than 80 percent of CHWs nationally cover</w:t>
      </w:r>
      <w:r>
        <w:t>ed</w:t>
      </w:r>
      <w:r w:rsidRPr="00E67E61">
        <w:t xml:space="preserve"> between 0-500 people and less than 10 percent of CHWs cover</w:t>
      </w:r>
      <w:r>
        <w:t>ed</w:t>
      </w:r>
      <w:r w:rsidRPr="00E67E61">
        <w:t xml:space="preserve"> more than 1,000 people.</w:t>
      </w:r>
      <w:r>
        <w:rPr>
          <w:rStyle w:val="FootnoteReference"/>
        </w:rPr>
        <w:footnoteReference w:id="2"/>
      </w:r>
      <w:r w:rsidR="009D2457">
        <w:t xml:space="preserve"> </w:t>
      </w:r>
      <w:r>
        <w:t>It is expected that with the introduction of the revised CHW policy in 2016, CHW coverage will increase considerably – t</w:t>
      </w:r>
      <w:r w:rsidRPr="00E67E61">
        <w:t>he ratio of hard-to-reach CHWs (i.e. those b</w:t>
      </w:r>
      <w:r>
        <w:t xml:space="preserve">eyond three km from the health facility) will be </w:t>
      </w:r>
      <w:r w:rsidRPr="00E67E61">
        <w:t>one to 250 persons and the ratio of CH</w:t>
      </w:r>
      <w:r>
        <w:t>Ws within three km of the health facility will be</w:t>
      </w:r>
      <w:r w:rsidRPr="00E67E61">
        <w:t xml:space="preserve"> one to 1,000 persons.</w:t>
      </w:r>
    </w:p>
    <w:p w:rsidR="005A5E22" w:rsidRDefault="005A5E22" w:rsidP="00063A17"/>
    <w:p w:rsidR="00063A17" w:rsidRDefault="00063A17" w:rsidP="00063A17">
      <w:pPr>
        <w:rPr>
          <w:rFonts w:cstheme="minorHAnsi"/>
        </w:rPr>
      </w:pPr>
      <w:r w:rsidRPr="00795126">
        <w:t xml:space="preserve">In both </w:t>
      </w:r>
      <w:r w:rsidR="00E67E61">
        <w:t>districts</w:t>
      </w:r>
      <w:r w:rsidRPr="00795126">
        <w:t xml:space="preserve">, stock-outs at the community level were a significant challenge in 2015. In Bombali </w:t>
      </w:r>
      <w:r w:rsidR="00E67E61">
        <w:t xml:space="preserve">district, </w:t>
      </w:r>
      <w:r>
        <w:t>CHWs did not receive any medicines or commodities for curative services (e.g. iCCM treatments); it was reported that this was due to</w:t>
      </w:r>
      <w:r w:rsidRPr="00AD5FFC">
        <w:t xml:space="preserve"> </w:t>
      </w:r>
      <w:r w:rsidR="00566B53">
        <w:t xml:space="preserve">both </w:t>
      </w:r>
      <w:r w:rsidRPr="00AD5FFC">
        <w:t>the unavailability of medicines and commodities for CHWs</w:t>
      </w:r>
      <w:r>
        <w:t xml:space="preserve"> </w:t>
      </w:r>
      <w:r w:rsidR="00566B53">
        <w:t>and the</w:t>
      </w:r>
      <w:r>
        <w:t xml:space="preserve"> </w:t>
      </w:r>
      <w:r w:rsidR="00566B53" w:rsidRPr="00566B53">
        <w:rPr>
          <w:i/>
        </w:rPr>
        <w:t>no-touch policy</w:t>
      </w:r>
      <w:r w:rsidR="00566B53">
        <w:t xml:space="preserve"> </w:t>
      </w:r>
      <w:r>
        <w:t>directive from the MOHS to refer all suspected iCCM cases to the health facility, following the outbrea</w:t>
      </w:r>
      <w:r w:rsidR="00E67E61">
        <w:t>k of the EVD epidemic. In Kono d</w:t>
      </w:r>
      <w:r>
        <w:t>istrict, the IRC reported considerable levels of stock-outs among CHWs</w:t>
      </w:r>
      <w:r w:rsidR="0082649C">
        <w:t xml:space="preserve">. </w:t>
      </w:r>
      <w:r>
        <w:t>U</w:t>
      </w:r>
      <w:r w:rsidRPr="00063A17">
        <w:rPr>
          <w:rFonts w:cstheme="minorHAnsi"/>
        </w:rPr>
        <w:t xml:space="preserve">nless </w:t>
      </w:r>
      <w:r w:rsidR="0082649C">
        <w:rPr>
          <w:rFonts w:cstheme="minorHAnsi"/>
        </w:rPr>
        <w:t xml:space="preserve">the issue of stock-outs is </w:t>
      </w:r>
      <w:r w:rsidRPr="00063A17">
        <w:rPr>
          <w:rFonts w:cstheme="minorHAnsi"/>
        </w:rPr>
        <w:t>resolved, the success and impact of the proposed expansi</w:t>
      </w:r>
      <w:r w:rsidR="005A5E22">
        <w:rPr>
          <w:rFonts w:cstheme="minorHAnsi"/>
        </w:rPr>
        <w:t>on of the National CHS</w:t>
      </w:r>
      <w:r w:rsidR="0082649C">
        <w:rPr>
          <w:rFonts w:cstheme="minorHAnsi"/>
        </w:rPr>
        <w:t xml:space="preserve"> program will likely be limited. </w:t>
      </w:r>
    </w:p>
    <w:p w:rsidR="008C02C8" w:rsidRDefault="008C02C8" w:rsidP="00063A17">
      <w:pPr>
        <w:rPr>
          <w:rFonts w:cstheme="minorHAnsi"/>
        </w:rPr>
      </w:pPr>
    </w:p>
    <w:p w:rsidR="00231CCD" w:rsidRPr="00083827" w:rsidRDefault="00231CCD" w:rsidP="00231CCD">
      <w:pPr>
        <w:pStyle w:val="Style1"/>
      </w:pPr>
      <w:r>
        <w:t>Discussion</w:t>
      </w:r>
    </w:p>
    <w:p w:rsidR="00C46538" w:rsidRDefault="00C46538" w:rsidP="00662342">
      <w:r w:rsidRPr="00C46538">
        <w:t>Despite having well-established CH</w:t>
      </w:r>
      <w:r w:rsidR="005A5E22">
        <w:t>S</w:t>
      </w:r>
      <w:r w:rsidRPr="00C46538">
        <w:t xml:space="preserve"> programs, there is minimal information on the long-term costs and </w:t>
      </w:r>
      <w:r w:rsidR="004A7528">
        <w:t xml:space="preserve">financing requirements in both Malawi and Sierra Leone </w:t>
      </w:r>
      <w:r w:rsidRPr="00C46538">
        <w:t xml:space="preserve">which remain heavily reliant on external donor funding. </w:t>
      </w:r>
      <w:r w:rsidR="004A7528">
        <w:t>The results of the MSH-led pilots in Malawi and Sierra Leone provide estimates on the costs an</w:t>
      </w:r>
      <w:r w:rsidR="005A5E22">
        <w:t>d the required financing for CHS</w:t>
      </w:r>
      <w:r w:rsidR="004A7528">
        <w:t xml:space="preserve"> programs for the years 2015-2025 which can be used to inform future program planning and performance monitoring.</w:t>
      </w:r>
    </w:p>
    <w:p w:rsidR="004A7528" w:rsidRDefault="004A7528" w:rsidP="00662342"/>
    <w:p w:rsidR="005A5E22" w:rsidRDefault="00BF1CCD" w:rsidP="00676612">
      <w:r>
        <w:t xml:space="preserve">In both countries, </w:t>
      </w:r>
      <w:r w:rsidRPr="00BF1CCD">
        <w:t xml:space="preserve">the costs of expanding </w:t>
      </w:r>
      <w:r w:rsidR="00566B53">
        <w:t xml:space="preserve">the utilization of CHS </w:t>
      </w:r>
      <w:r w:rsidRPr="00BF1CCD">
        <w:t>relate mainly to</w:t>
      </w:r>
      <w:r w:rsidR="00566B53">
        <w:t xml:space="preserve"> an increase in variable costs for </w:t>
      </w:r>
      <w:r w:rsidRPr="00BF1CCD">
        <w:t>medicines, supplies</w:t>
      </w:r>
      <w:r w:rsidR="00566B53">
        <w:t>,</w:t>
      </w:r>
      <w:r w:rsidRPr="00BF1CCD">
        <w:t xml:space="preserve"> and commodities</w:t>
      </w:r>
      <w:r w:rsidR="00566B53">
        <w:t xml:space="preserve"> which are based on the number of services provided by CHWs. However, t</w:t>
      </w:r>
      <w:r w:rsidRPr="00BF1CCD">
        <w:t>hese costs may not all be incremental, since</w:t>
      </w:r>
      <w:r w:rsidR="00566B53">
        <w:t xml:space="preserve"> t</w:t>
      </w:r>
      <w:r w:rsidRPr="00BF1CCD">
        <w:t xml:space="preserve">hey may be replacing </w:t>
      </w:r>
      <w:r w:rsidR="005A5E22">
        <w:t xml:space="preserve">the costs of services </w:t>
      </w:r>
      <w:r w:rsidR="00566B53">
        <w:t>currently</w:t>
      </w:r>
      <w:r w:rsidRPr="00BF1CCD">
        <w:t xml:space="preserve"> provided at</w:t>
      </w:r>
      <w:r w:rsidR="00566B53">
        <w:t xml:space="preserve"> health</w:t>
      </w:r>
      <w:r w:rsidRPr="00BF1CCD">
        <w:t xml:space="preserve"> facilities. </w:t>
      </w:r>
      <w:r w:rsidR="00566B53">
        <w:t xml:space="preserve">Therefore, </w:t>
      </w:r>
      <w:r w:rsidRPr="00BF1CCD">
        <w:t xml:space="preserve">the expansion of </w:t>
      </w:r>
      <w:r w:rsidR="00566B53">
        <w:t xml:space="preserve">CHS may reduce </w:t>
      </w:r>
      <w:r w:rsidR="005A5E22">
        <w:t xml:space="preserve">the overall </w:t>
      </w:r>
      <w:r w:rsidRPr="00BF1CCD">
        <w:t>health system</w:t>
      </w:r>
      <w:r w:rsidR="005A5E22">
        <w:t xml:space="preserve"> </w:t>
      </w:r>
      <w:r w:rsidR="00566B53">
        <w:t>costs</w:t>
      </w:r>
      <w:r w:rsidR="005A5E22">
        <w:t>,</w:t>
      </w:r>
      <w:r w:rsidR="00566B53">
        <w:t xml:space="preserve"> </w:t>
      </w:r>
      <w:r w:rsidRPr="00BF1CCD">
        <w:t>allowing for a more cost</w:t>
      </w:r>
      <w:r w:rsidR="005A5E22">
        <w:t>-</w:t>
      </w:r>
      <w:r w:rsidRPr="00BF1CCD">
        <w:t>effective use of health facilities</w:t>
      </w:r>
      <w:r w:rsidR="00566B53">
        <w:t xml:space="preserve"> and personnel</w:t>
      </w:r>
      <w:r w:rsidRPr="00BF1CCD">
        <w:t>.</w:t>
      </w:r>
      <w:r w:rsidR="00566B53">
        <w:t xml:space="preserve"> </w:t>
      </w:r>
    </w:p>
    <w:p w:rsidR="005A5E22" w:rsidRDefault="005A5E22" w:rsidP="00676612"/>
    <w:p w:rsidR="00354E80" w:rsidRDefault="00566B53" w:rsidP="00676612">
      <w:r>
        <w:t>Moreover, as CHS are provided free-of-charge and in close proximity to the target populations, the economic costs faced by household should reduce including those for out-of-pocket payments, productivity losses due to illness, and productivity losses due to premature mortality. I</w:t>
      </w:r>
      <w:r w:rsidRPr="00566B53">
        <w:t xml:space="preserve">n general, high </w:t>
      </w:r>
      <w:r>
        <w:t>utilization of CHS</w:t>
      </w:r>
      <w:r w:rsidRPr="00566B53">
        <w:t xml:space="preserve"> combined with lower fixed costs (for management, supervision, trainings, and remuneration) result in a lower average recurrent cost </w:t>
      </w:r>
      <w:r>
        <w:t xml:space="preserve">per capita. </w:t>
      </w:r>
    </w:p>
    <w:p w:rsidR="00C46538" w:rsidRDefault="00C46538" w:rsidP="00676612"/>
    <w:p w:rsidR="00231CCD" w:rsidRPr="00083827" w:rsidRDefault="00231CCD" w:rsidP="00231CCD">
      <w:pPr>
        <w:pStyle w:val="Style1"/>
      </w:pPr>
      <w:r>
        <w:t>Conclusion</w:t>
      </w:r>
      <w:r w:rsidR="00C46538">
        <w:t>s</w:t>
      </w:r>
    </w:p>
    <w:p w:rsidR="003F5887" w:rsidRDefault="004A7528" w:rsidP="003F5887">
      <w:r>
        <w:t>The purpose of the pilots were to develop a methodology and tool to support countries in the planning and costing of CHS programs and use the results to help improve and expand programs in both Malawi and Sierra Leone.</w:t>
      </w:r>
      <w:r w:rsidR="00291FAB">
        <w:t xml:space="preserve"> </w:t>
      </w:r>
      <w:r>
        <w:t>While CHWs</w:t>
      </w:r>
      <w:r w:rsidR="003F5887" w:rsidRPr="003F5887">
        <w:t xml:space="preserve"> </w:t>
      </w:r>
      <w:r w:rsidR="003F5887">
        <w:t xml:space="preserve">serve a critical role in </w:t>
      </w:r>
      <w:r w:rsidR="003F5887" w:rsidRPr="003F5887">
        <w:t>extending access to integrated health</w:t>
      </w:r>
      <w:r w:rsidR="003F5887">
        <w:t xml:space="preserve"> services,</w:t>
      </w:r>
      <w:r w:rsidR="00291FAB">
        <w:t xml:space="preserve"> in 2015</w:t>
      </w:r>
      <w:r w:rsidR="003F5887">
        <w:t xml:space="preserve"> the utilization of CHS </w:t>
      </w:r>
      <w:r w:rsidR="00291FAB">
        <w:t xml:space="preserve">and the numbers of services offered </w:t>
      </w:r>
      <w:r w:rsidR="003F5887">
        <w:t xml:space="preserve">in </w:t>
      </w:r>
      <w:r w:rsidR="00291FAB">
        <w:t>the sampled districts</w:t>
      </w:r>
      <w:r w:rsidR="003F5887">
        <w:t xml:space="preserve"> was </w:t>
      </w:r>
      <w:r w:rsidR="00291FAB">
        <w:t>l</w:t>
      </w:r>
      <w:r w:rsidR="003F5887">
        <w:t xml:space="preserve">ow which resulted in </w:t>
      </w:r>
      <w:r w:rsidR="00291FAB">
        <w:t xml:space="preserve">a lower cost per capita. By 2025, with the modelled increase in the utilization of CHS, the </w:t>
      </w:r>
      <w:r w:rsidR="005A5E22">
        <w:t xml:space="preserve">total program costs and </w:t>
      </w:r>
      <w:r w:rsidR="00291FAB">
        <w:t>cost per capita in all districts would rise</w:t>
      </w:r>
      <w:r w:rsidR="00291FAB" w:rsidRPr="00291FAB">
        <w:t xml:space="preserve"> </w:t>
      </w:r>
      <w:r w:rsidR="00291FAB">
        <w:t>with the increase in</w:t>
      </w:r>
      <w:r w:rsidR="00291FAB" w:rsidRPr="00291FAB">
        <w:t xml:space="preserve"> variable costs for medic</w:t>
      </w:r>
      <w:r w:rsidR="00291FAB">
        <w:t>ines, supplies, and commodities.</w:t>
      </w:r>
    </w:p>
    <w:p w:rsidR="003F5887" w:rsidRDefault="003F5887" w:rsidP="003F5887"/>
    <w:p w:rsidR="00281E38" w:rsidRDefault="009D2457" w:rsidP="00940896">
      <w:pPr>
        <w:pStyle w:val="Style1"/>
      </w:pPr>
      <w:r>
        <w:t>Investment Case Development</w:t>
      </w:r>
    </w:p>
    <w:p w:rsidR="008C02C8" w:rsidRDefault="00340769" w:rsidP="003F5887">
      <w:r>
        <w:t>The results of these pilots</w:t>
      </w:r>
      <w:r w:rsidRPr="00340769">
        <w:t xml:space="preserve"> serve to support partners across a range of countries in the development of comprehensive community health strategies and investment cases</w:t>
      </w:r>
      <w:r>
        <w:t xml:space="preserve">. </w:t>
      </w:r>
      <w:r w:rsidR="008C02C8">
        <w:t xml:space="preserve">An investment case for </w:t>
      </w:r>
      <w:r w:rsidR="00B61C77">
        <w:t xml:space="preserve">introducing or </w:t>
      </w:r>
      <w:r w:rsidR="008C02C8">
        <w:t>expanding community health services should have three components:</w:t>
      </w:r>
    </w:p>
    <w:p w:rsidR="008C02C8" w:rsidRDefault="00B61C77" w:rsidP="009D2457">
      <w:pPr>
        <w:pStyle w:val="ListParagraph"/>
        <w:numPr>
          <w:ilvl w:val="0"/>
          <w:numId w:val="13"/>
        </w:numPr>
      </w:pPr>
      <w:r>
        <w:t>Projections for s</w:t>
      </w:r>
      <w:r w:rsidR="008C02C8">
        <w:t>ervice</w:t>
      </w:r>
      <w:r>
        <w:t>s</w:t>
      </w:r>
      <w:r w:rsidR="008C02C8">
        <w:t>, resource needs, costing and financing</w:t>
      </w:r>
      <w:r>
        <w:t>;</w:t>
      </w:r>
    </w:p>
    <w:p w:rsidR="008C02C8" w:rsidRDefault="008C02C8" w:rsidP="009D2457">
      <w:pPr>
        <w:pStyle w:val="ListParagraph"/>
        <w:numPr>
          <w:ilvl w:val="0"/>
          <w:numId w:val="13"/>
        </w:numPr>
      </w:pPr>
      <w:r>
        <w:t>Bottleneck analysis;</w:t>
      </w:r>
      <w:r w:rsidR="00340769">
        <w:t xml:space="preserve"> and</w:t>
      </w:r>
    </w:p>
    <w:p w:rsidR="008C02C8" w:rsidRDefault="008C02C8" w:rsidP="009D2457">
      <w:pPr>
        <w:pStyle w:val="ListParagraph"/>
        <w:numPr>
          <w:ilvl w:val="0"/>
          <w:numId w:val="13"/>
        </w:numPr>
      </w:pPr>
      <w:r>
        <w:t>Impact analysis</w:t>
      </w:r>
      <w:r w:rsidR="00B61C77">
        <w:t xml:space="preserve"> using the Lives Saved Tool (LiST).</w:t>
      </w:r>
    </w:p>
    <w:p w:rsidR="00340769" w:rsidRDefault="00340769" w:rsidP="008C02C8"/>
    <w:p w:rsidR="00340769" w:rsidRDefault="008C02C8" w:rsidP="008C02C8">
      <w:r>
        <w:t>The projections for services, related resource needs (e</w:t>
      </w:r>
      <w:r w:rsidR="00340769">
        <w:t>.</w:t>
      </w:r>
      <w:r>
        <w:t>g</w:t>
      </w:r>
      <w:r w:rsidR="00340769">
        <w:t>.</w:t>
      </w:r>
      <w:r>
        <w:t xml:space="preserve"> staffing), costs</w:t>
      </w:r>
      <w:r w:rsidR="00340769">
        <w:t>,</w:t>
      </w:r>
      <w:r>
        <w:t xml:space="preserve"> and financing </w:t>
      </w:r>
      <w:r w:rsidR="00340769">
        <w:t xml:space="preserve">can produced using the </w:t>
      </w:r>
      <w:r w:rsidR="00B61C77">
        <w:t>CHS Planning and Costing T</w:t>
      </w:r>
      <w:r w:rsidR="00340769">
        <w:t xml:space="preserve">ool. </w:t>
      </w:r>
    </w:p>
    <w:p w:rsidR="00340769" w:rsidRDefault="00340769" w:rsidP="008C02C8"/>
    <w:p w:rsidR="008C02C8" w:rsidRDefault="008C02C8" w:rsidP="008C02C8">
      <w:r>
        <w:t xml:space="preserve">The bottleneck analysis should </w:t>
      </w:r>
      <w:r w:rsidR="00B61C77">
        <w:t>identify existing bottlenecks and their impact as well as costed solutions for removing them.</w:t>
      </w:r>
      <w:r w:rsidR="006F3636">
        <w:t xml:space="preserve"> </w:t>
      </w:r>
      <w:r w:rsidR="00B61C77" w:rsidRPr="00B61C77">
        <w:t xml:space="preserve">The cost of resolving </w:t>
      </w:r>
      <w:r w:rsidR="00B61C77">
        <w:t xml:space="preserve">the </w:t>
      </w:r>
      <w:r w:rsidR="00B61C77" w:rsidRPr="00B61C77">
        <w:t>bottlenecks can also be included</w:t>
      </w:r>
      <w:r w:rsidR="00B61C77">
        <w:t xml:space="preserve"> in the tool and the utilization of services can be adjusted to reflect their removal</w:t>
      </w:r>
      <w:r w:rsidR="00B61C77" w:rsidRPr="00B61C77">
        <w:t>.</w:t>
      </w:r>
      <w:r w:rsidR="00B61C77">
        <w:t xml:space="preserve"> </w:t>
      </w:r>
    </w:p>
    <w:p w:rsidR="008C02C8" w:rsidRDefault="008C02C8" w:rsidP="003F5887"/>
    <w:p w:rsidR="00934F05" w:rsidRDefault="006F3636" w:rsidP="003F5887">
      <w:r>
        <w:t xml:space="preserve">The </w:t>
      </w:r>
      <w:r w:rsidR="007E5EB2">
        <w:t>impact analysis</w:t>
      </w:r>
      <w:r w:rsidR="00E61977">
        <w:t>, which estimates the additional lives saved as a result of the expansion of certain health interventions,</w:t>
      </w:r>
      <w:r w:rsidR="00934F05">
        <w:t xml:space="preserve"> </w:t>
      </w:r>
      <w:r w:rsidR="007E5EB2">
        <w:t xml:space="preserve">is </w:t>
      </w:r>
      <w:r w:rsidR="00E61977">
        <w:t>conducted</w:t>
      </w:r>
      <w:r w:rsidR="007E5EB2">
        <w:t xml:space="preserve"> </w:t>
      </w:r>
      <w:r w:rsidR="00E61977">
        <w:t>using the</w:t>
      </w:r>
      <w:r w:rsidR="007E5EB2">
        <w:t xml:space="preserve"> LiST </w:t>
      </w:r>
      <w:r w:rsidR="00B61C77">
        <w:t>T</w:t>
      </w:r>
      <w:r w:rsidR="007E5EB2">
        <w:t>ool</w:t>
      </w:r>
      <w:r w:rsidR="00934F05">
        <w:t xml:space="preserve"> </w:t>
      </w:r>
      <w:r w:rsidR="00E61977">
        <w:t>and can be re-entered into the</w:t>
      </w:r>
      <w:r w:rsidR="00B61C77" w:rsidRPr="00B61C77">
        <w:t xml:space="preserve"> Community Health Planning and Costing Tool.</w:t>
      </w:r>
    </w:p>
    <w:p w:rsidR="00934F05" w:rsidRDefault="00934F05" w:rsidP="003F5887"/>
    <w:p w:rsidR="006F3636" w:rsidRDefault="00934F05" w:rsidP="003F5887">
      <w:r>
        <w:t xml:space="preserve">These three components in combination should provide a compelling investment case that can be used to advocate for the </w:t>
      </w:r>
      <w:r w:rsidR="00E61977">
        <w:t xml:space="preserve">necessary </w:t>
      </w:r>
      <w:r>
        <w:t xml:space="preserve">resources </w:t>
      </w:r>
      <w:r w:rsidR="00E61977">
        <w:t>for introducing or expanding CHS programs</w:t>
      </w:r>
    </w:p>
    <w:p w:rsidR="006F3636" w:rsidRDefault="006F3636" w:rsidP="003F5887"/>
    <w:p w:rsidR="003F5887" w:rsidRDefault="003F5887" w:rsidP="003F5887"/>
    <w:p w:rsidR="00281E38" w:rsidRPr="00E61977" w:rsidRDefault="00281E38" w:rsidP="00940896">
      <w:pPr>
        <w:pStyle w:val="Style1"/>
      </w:pPr>
      <w:r w:rsidRPr="00E61977">
        <w:t>ACKNOW</w:t>
      </w:r>
      <w:r w:rsidR="00E61977">
        <w:t xml:space="preserve">LEDGEMENTS </w:t>
      </w:r>
    </w:p>
    <w:p w:rsidR="00E61977" w:rsidRDefault="00E61977" w:rsidP="00E61977">
      <w:r>
        <w:t>Co-researchers (alphabetical): David Colllins, Sarah Davey, Colin Gilmartin, Zina Jarrah, William Newbrander, Jerome Pfaffmann, Kemi Tesfazghi, and Christopher Villatoro, and Sara Wilhelmsen.</w:t>
      </w:r>
    </w:p>
    <w:p w:rsidR="00E61977" w:rsidRDefault="00E61977" w:rsidP="00E61977">
      <w:r>
        <w:t xml:space="preserve"> </w:t>
      </w:r>
    </w:p>
    <w:p w:rsidR="00E61977" w:rsidRDefault="00E61977" w:rsidP="00E61977">
      <w:r>
        <w:t>Special thanks are due to personnel from UNICEF offices in both countries, the Malawi MOH, the Sierra Leone MOHS, World Hope International, and the International Rescue Committee.</w:t>
      </w:r>
    </w:p>
    <w:p w:rsidR="00BB29C2" w:rsidRDefault="00BB29C2" w:rsidP="00E61977"/>
    <w:p w:rsidR="00E61977" w:rsidRDefault="00E61977" w:rsidP="00E61977"/>
    <w:p w:rsidR="00E61977" w:rsidRDefault="00E61977" w:rsidP="00E61977">
      <w:r>
        <w:rPr>
          <w:noProof/>
        </w:rPr>
        <w:drawing>
          <wp:inline distT="0" distB="0" distL="0" distR="0" wp14:anchorId="174FFD94" wp14:editId="72BFC3A5">
            <wp:extent cx="4572000" cy="3429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3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rsidR="00E61977" w:rsidRDefault="00E61977" w:rsidP="00E61977"/>
    <w:p w:rsidR="00D60B03" w:rsidRDefault="00D60B03" w:rsidP="005A5E22">
      <w:pPr>
        <w:shd w:val="clear" w:color="auto" w:fill="D9D9D9" w:themeFill="background1" w:themeFillShade="D9"/>
      </w:pPr>
      <w:r w:rsidRPr="00D60B03">
        <w:rPr>
          <w:b/>
        </w:rPr>
        <w:t>For more information</w:t>
      </w:r>
      <w:r w:rsidR="00063A17">
        <w:rPr>
          <w:b/>
        </w:rPr>
        <w:t xml:space="preserve"> on the CHS Planning and Costing Tool and country pilots</w:t>
      </w:r>
      <w:r>
        <w:t xml:space="preserve">: please visit </w:t>
      </w:r>
      <w:hyperlink r:id="rId18" w:history="1">
        <w:r w:rsidRPr="00A62DED">
          <w:rPr>
            <w:rStyle w:val="Hyperlink"/>
          </w:rPr>
          <w:t>www.msh.org</w:t>
        </w:r>
      </w:hyperlink>
      <w:r>
        <w:t xml:space="preserve"> and </w:t>
      </w:r>
      <w:hyperlink r:id="rId19" w:history="1">
        <w:r w:rsidR="00C1122F" w:rsidRPr="00A62DED">
          <w:rPr>
            <w:rStyle w:val="Hyperlink"/>
          </w:rPr>
          <w:t>www.unicef.org</w:t>
        </w:r>
      </w:hyperlink>
      <w:r>
        <w:t>.</w:t>
      </w:r>
    </w:p>
    <w:p w:rsidR="00063A17" w:rsidRDefault="00063A17" w:rsidP="005A5E22">
      <w:pPr>
        <w:shd w:val="clear" w:color="auto" w:fill="D9D9D9" w:themeFill="background1" w:themeFillShade="D9"/>
        <w:rPr>
          <w:b/>
        </w:rPr>
      </w:pPr>
    </w:p>
    <w:p w:rsidR="00231CCD" w:rsidRDefault="00D60B03" w:rsidP="005A5E22">
      <w:pPr>
        <w:shd w:val="clear" w:color="auto" w:fill="D9D9D9" w:themeFill="background1" w:themeFillShade="D9"/>
      </w:pPr>
      <w:r w:rsidRPr="00ED323B">
        <w:rPr>
          <w:b/>
        </w:rPr>
        <w:t>Contact details:</w:t>
      </w:r>
      <w:r>
        <w:t xml:space="preserve"> David Collins (</w:t>
      </w:r>
      <w:hyperlink r:id="rId20" w:history="1">
        <w:r w:rsidRPr="00A62DED">
          <w:rPr>
            <w:rStyle w:val="Hyperlink"/>
          </w:rPr>
          <w:t>dcollins@msh.org</w:t>
        </w:r>
      </w:hyperlink>
      <w:r>
        <w:t>) and Jerome Pfaffmann (</w:t>
      </w:r>
      <w:hyperlink r:id="rId21" w:history="1">
        <w:r w:rsidRPr="00A62DED">
          <w:rPr>
            <w:rStyle w:val="Hyperlink"/>
          </w:rPr>
          <w:t>jpfaffmann@unicef.org</w:t>
        </w:r>
      </w:hyperlink>
      <w:r>
        <w:t>)</w:t>
      </w:r>
    </w:p>
    <w:sectPr w:rsidR="00231CCD">
      <w:footerReference w:type="default" r:id="rId22"/>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2465" w:rsidRDefault="00062465" w:rsidP="00DB273B">
      <w:r>
        <w:separator/>
      </w:r>
    </w:p>
  </w:endnote>
  <w:endnote w:type="continuationSeparator" w:id="0">
    <w:p w:rsidR="00062465" w:rsidRDefault="00062465" w:rsidP="00DB27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9133737"/>
      <w:docPartObj>
        <w:docPartGallery w:val="Page Numbers (Bottom of Page)"/>
        <w:docPartUnique/>
      </w:docPartObj>
    </w:sdtPr>
    <w:sdtEndPr>
      <w:rPr>
        <w:noProof/>
      </w:rPr>
    </w:sdtEndPr>
    <w:sdtContent>
      <w:p w:rsidR="00566B53" w:rsidRDefault="00E322EE" w:rsidP="00E322EE">
        <w:pPr>
          <w:pStyle w:val="Footer"/>
          <w:jc w:val="right"/>
          <w:rPr>
            <w:noProof/>
          </w:rPr>
        </w:pPr>
        <w:r>
          <w:t xml:space="preserve">Page </w:t>
        </w:r>
        <w:r w:rsidR="00566B53">
          <w:fldChar w:fldCharType="begin"/>
        </w:r>
        <w:r w:rsidR="00566B53">
          <w:instrText xml:space="preserve"> PAGE   \* MERGEFORMAT </w:instrText>
        </w:r>
        <w:r w:rsidR="00566B53">
          <w:fldChar w:fldCharType="separate"/>
        </w:r>
        <w:r w:rsidR="009A2180">
          <w:rPr>
            <w:noProof/>
          </w:rPr>
          <w:t>1</w:t>
        </w:r>
        <w:r w:rsidR="00566B53">
          <w:rPr>
            <w:noProof/>
          </w:rPr>
          <w:fldChar w:fldCharType="end"/>
        </w:r>
      </w:p>
    </w:sdtContent>
  </w:sdt>
  <w:p w:rsidR="00566B53" w:rsidRDefault="00566B5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2465" w:rsidRDefault="00062465" w:rsidP="00DB273B">
      <w:r>
        <w:separator/>
      </w:r>
    </w:p>
  </w:footnote>
  <w:footnote w:type="continuationSeparator" w:id="0">
    <w:p w:rsidR="00062465" w:rsidRDefault="00062465" w:rsidP="00DB273B">
      <w:r>
        <w:continuationSeparator/>
      </w:r>
    </w:p>
  </w:footnote>
  <w:footnote w:id="1">
    <w:p w:rsidR="00566B53" w:rsidRPr="00094295" w:rsidRDefault="00566B53" w:rsidP="00747CAF">
      <w:pPr>
        <w:pStyle w:val="FootnoteText"/>
        <w:rPr>
          <w:rFonts w:asciiTheme="minorHAnsi" w:hAnsiTheme="minorHAnsi"/>
          <w:sz w:val="18"/>
          <w:szCs w:val="18"/>
        </w:rPr>
      </w:pPr>
      <w:r w:rsidRPr="00094295">
        <w:rPr>
          <w:rStyle w:val="FootnoteReference"/>
          <w:rFonts w:asciiTheme="minorHAnsi" w:hAnsiTheme="minorHAnsi"/>
          <w:sz w:val="18"/>
          <w:szCs w:val="18"/>
        </w:rPr>
        <w:footnoteRef/>
      </w:r>
      <w:r w:rsidRPr="00094295">
        <w:rPr>
          <w:rFonts w:asciiTheme="minorHAnsi" w:hAnsiTheme="minorHAnsi"/>
          <w:sz w:val="18"/>
          <w:szCs w:val="18"/>
        </w:rPr>
        <w:t xml:space="preserve"> Expressed as the anticipated number of episodes or cases per target population per year. For promotional and preventive services, the expected utilization rates should be based on national norms and standards. Certain preventive services, </w:t>
      </w:r>
      <w:r>
        <w:rPr>
          <w:rFonts w:asciiTheme="minorHAnsi" w:hAnsiTheme="minorHAnsi"/>
          <w:sz w:val="18"/>
          <w:szCs w:val="18"/>
        </w:rPr>
        <w:t>(e.g. family planning)</w:t>
      </w:r>
      <w:r w:rsidRPr="00094295">
        <w:rPr>
          <w:rFonts w:asciiTheme="minorHAnsi" w:hAnsiTheme="minorHAnsi"/>
          <w:sz w:val="18"/>
          <w:szCs w:val="18"/>
        </w:rPr>
        <w:t xml:space="preserve"> are unlikely to have standard expected utilization rates</w:t>
      </w:r>
      <w:r>
        <w:rPr>
          <w:rFonts w:asciiTheme="minorHAnsi" w:hAnsiTheme="minorHAnsi"/>
          <w:sz w:val="18"/>
          <w:szCs w:val="18"/>
        </w:rPr>
        <w:t xml:space="preserve"> and are based on </w:t>
      </w:r>
      <w:r w:rsidRPr="00094295">
        <w:rPr>
          <w:rFonts w:asciiTheme="minorHAnsi" w:hAnsiTheme="minorHAnsi"/>
          <w:sz w:val="18"/>
          <w:szCs w:val="18"/>
        </w:rPr>
        <w:t>current use and</w:t>
      </w:r>
      <w:r>
        <w:rPr>
          <w:rFonts w:asciiTheme="minorHAnsi" w:hAnsiTheme="minorHAnsi"/>
          <w:sz w:val="18"/>
          <w:szCs w:val="18"/>
        </w:rPr>
        <w:t>/or</w:t>
      </w:r>
      <w:r w:rsidRPr="00094295">
        <w:rPr>
          <w:rFonts w:asciiTheme="minorHAnsi" w:hAnsiTheme="minorHAnsi"/>
          <w:sz w:val="18"/>
          <w:szCs w:val="18"/>
        </w:rPr>
        <w:t xml:space="preserve"> unmet need</w:t>
      </w:r>
      <w:r>
        <w:rPr>
          <w:rFonts w:asciiTheme="minorHAnsi" w:hAnsiTheme="minorHAnsi"/>
          <w:sz w:val="18"/>
          <w:szCs w:val="18"/>
        </w:rPr>
        <w:t xml:space="preserve">. </w:t>
      </w:r>
      <w:r w:rsidRPr="00094295">
        <w:rPr>
          <w:rFonts w:asciiTheme="minorHAnsi" w:hAnsiTheme="minorHAnsi"/>
          <w:sz w:val="18"/>
          <w:szCs w:val="18"/>
        </w:rPr>
        <w:t>For curative services</w:t>
      </w:r>
      <w:r>
        <w:rPr>
          <w:rFonts w:asciiTheme="minorHAnsi" w:hAnsiTheme="minorHAnsi"/>
          <w:sz w:val="18"/>
          <w:szCs w:val="18"/>
        </w:rPr>
        <w:t xml:space="preserve"> (e.g. diarrhea treatment)</w:t>
      </w:r>
      <w:r w:rsidRPr="00094295">
        <w:rPr>
          <w:rFonts w:asciiTheme="minorHAnsi" w:hAnsiTheme="minorHAnsi"/>
          <w:sz w:val="18"/>
          <w:szCs w:val="18"/>
        </w:rPr>
        <w:t xml:space="preserve">, expected utilization rates should reflect the expected number of cases in the target population per year. </w:t>
      </w:r>
    </w:p>
  </w:footnote>
  <w:footnote w:id="2">
    <w:p w:rsidR="005A5E22" w:rsidRPr="00566B53" w:rsidRDefault="005A5E22" w:rsidP="005A5E22">
      <w:pPr>
        <w:pStyle w:val="FootnoteText"/>
        <w:rPr>
          <w:rFonts w:asciiTheme="minorHAnsi" w:hAnsiTheme="minorHAnsi"/>
        </w:rPr>
      </w:pPr>
      <w:r w:rsidRPr="00566B53">
        <w:rPr>
          <w:rStyle w:val="FootnoteReference"/>
          <w:rFonts w:asciiTheme="minorHAnsi" w:hAnsiTheme="minorHAnsi"/>
        </w:rPr>
        <w:footnoteRef/>
      </w:r>
      <w:r w:rsidRPr="00566B53">
        <w:rPr>
          <w:rFonts w:asciiTheme="minorHAnsi" w:hAnsiTheme="minorHAnsi"/>
        </w:rPr>
        <w:t xml:space="preserve"> UNICEF. 2015-16 Georeferenced Census of CHWs in Sierra Leone. 2016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965F1"/>
    <w:multiLevelType w:val="hybridMultilevel"/>
    <w:tmpl w:val="3DAE8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BC2F64"/>
    <w:multiLevelType w:val="hybridMultilevel"/>
    <w:tmpl w:val="8B34F1D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ECC5A28"/>
    <w:multiLevelType w:val="hybridMultilevel"/>
    <w:tmpl w:val="E76817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634E97"/>
    <w:multiLevelType w:val="hybridMultilevel"/>
    <w:tmpl w:val="04F6B5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28C74F0"/>
    <w:multiLevelType w:val="hybridMultilevel"/>
    <w:tmpl w:val="B2E45B7A"/>
    <w:lvl w:ilvl="0" w:tplc="F4FC08C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2E539F8"/>
    <w:multiLevelType w:val="hybridMultilevel"/>
    <w:tmpl w:val="91CA84B0"/>
    <w:lvl w:ilvl="0" w:tplc="F818408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6AD2434"/>
    <w:multiLevelType w:val="hybridMultilevel"/>
    <w:tmpl w:val="20E8D5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8F94342"/>
    <w:multiLevelType w:val="hybridMultilevel"/>
    <w:tmpl w:val="E26612D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4F76385F"/>
    <w:multiLevelType w:val="hybridMultilevel"/>
    <w:tmpl w:val="AE88442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1DC05C0"/>
    <w:multiLevelType w:val="hybridMultilevel"/>
    <w:tmpl w:val="978E8B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456709C"/>
    <w:multiLevelType w:val="hybridMultilevel"/>
    <w:tmpl w:val="BF549E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DFA6D93"/>
    <w:multiLevelType w:val="hybridMultilevel"/>
    <w:tmpl w:val="EA4E5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77B02AF"/>
    <w:multiLevelType w:val="hybridMultilevel"/>
    <w:tmpl w:val="5C689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7"/>
  </w:num>
  <w:num w:numId="4">
    <w:abstractNumId w:val="12"/>
  </w:num>
  <w:num w:numId="5">
    <w:abstractNumId w:val="2"/>
  </w:num>
  <w:num w:numId="6">
    <w:abstractNumId w:val="0"/>
  </w:num>
  <w:num w:numId="7">
    <w:abstractNumId w:val="4"/>
  </w:num>
  <w:num w:numId="8">
    <w:abstractNumId w:val="3"/>
  </w:num>
  <w:num w:numId="9">
    <w:abstractNumId w:val="11"/>
  </w:num>
  <w:num w:numId="10">
    <w:abstractNumId w:val="9"/>
  </w:num>
  <w:num w:numId="11">
    <w:abstractNumId w:val="5"/>
  </w:num>
  <w:num w:numId="12">
    <w:abstractNumId w:val="1"/>
  </w:num>
  <w:num w:numId="13">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0648"/>
    <w:rsid w:val="00000E9E"/>
    <w:rsid w:val="00001599"/>
    <w:rsid w:val="00005B8C"/>
    <w:rsid w:val="00006E7D"/>
    <w:rsid w:val="00010209"/>
    <w:rsid w:val="00012AE7"/>
    <w:rsid w:val="000156AD"/>
    <w:rsid w:val="00015A3C"/>
    <w:rsid w:val="00017E2F"/>
    <w:rsid w:val="00020209"/>
    <w:rsid w:val="00022EBB"/>
    <w:rsid w:val="00025A4B"/>
    <w:rsid w:val="00027753"/>
    <w:rsid w:val="00027AE4"/>
    <w:rsid w:val="0005616C"/>
    <w:rsid w:val="00062465"/>
    <w:rsid w:val="00063A17"/>
    <w:rsid w:val="0007119B"/>
    <w:rsid w:val="00071428"/>
    <w:rsid w:val="000721BE"/>
    <w:rsid w:val="00083827"/>
    <w:rsid w:val="00094295"/>
    <w:rsid w:val="00097A55"/>
    <w:rsid w:val="000A1EDA"/>
    <w:rsid w:val="000A23BA"/>
    <w:rsid w:val="000A4C60"/>
    <w:rsid w:val="000A61C9"/>
    <w:rsid w:val="000B7B87"/>
    <w:rsid w:val="000C1EDB"/>
    <w:rsid w:val="000C2349"/>
    <w:rsid w:val="000C5773"/>
    <w:rsid w:val="000C5A07"/>
    <w:rsid w:val="000D7FBC"/>
    <w:rsid w:val="000E3970"/>
    <w:rsid w:val="000E4DB1"/>
    <w:rsid w:val="000E64E9"/>
    <w:rsid w:val="000F52F1"/>
    <w:rsid w:val="00103483"/>
    <w:rsid w:val="001037C2"/>
    <w:rsid w:val="00103FED"/>
    <w:rsid w:val="00104C99"/>
    <w:rsid w:val="00104D4D"/>
    <w:rsid w:val="00115C93"/>
    <w:rsid w:val="00132DE2"/>
    <w:rsid w:val="00141615"/>
    <w:rsid w:val="001421C5"/>
    <w:rsid w:val="00144D56"/>
    <w:rsid w:val="001464E6"/>
    <w:rsid w:val="00146A71"/>
    <w:rsid w:val="00150121"/>
    <w:rsid w:val="00154EEF"/>
    <w:rsid w:val="001637A5"/>
    <w:rsid w:val="00164174"/>
    <w:rsid w:val="00164672"/>
    <w:rsid w:val="00173982"/>
    <w:rsid w:val="00173C63"/>
    <w:rsid w:val="00181122"/>
    <w:rsid w:val="0018296B"/>
    <w:rsid w:val="00182F91"/>
    <w:rsid w:val="00183AB4"/>
    <w:rsid w:val="00184264"/>
    <w:rsid w:val="00190B34"/>
    <w:rsid w:val="00192D84"/>
    <w:rsid w:val="0019432C"/>
    <w:rsid w:val="001A03CA"/>
    <w:rsid w:val="001A4718"/>
    <w:rsid w:val="001A64DC"/>
    <w:rsid w:val="001B63CF"/>
    <w:rsid w:val="001C00F8"/>
    <w:rsid w:val="001C6C4B"/>
    <w:rsid w:val="001D10F5"/>
    <w:rsid w:val="001D3877"/>
    <w:rsid w:val="001D45C5"/>
    <w:rsid w:val="001D4D80"/>
    <w:rsid w:val="001E0A42"/>
    <w:rsid w:val="001E1A41"/>
    <w:rsid w:val="001E7929"/>
    <w:rsid w:val="001F232D"/>
    <w:rsid w:val="001F33BF"/>
    <w:rsid w:val="001F4C69"/>
    <w:rsid w:val="001F520A"/>
    <w:rsid w:val="001F5B0D"/>
    <w:rsid w:val="001F6415"/>
    <w:rsid w:val="00201A34"/>
    <w:rsid w:val="00204847"/>
    <w:rsid w:val="00210D43"/>
    <w:rsid w:val="002171E5"/>
    <w:rsid w:val="00224E76"/>
    <w:rsid w:val="00227267"/>
    <w:rsid w:val="00230088"/>
    <w:rsid w:val="00230507"/>
    <w:rsid w:val="00231CCD"/>
    <w:rsid w:val="00232EEC"/>
    <w:rsid w:val="00236577"/>
    <w:rsid w:val="0023737C"/>
    <w:rsid w:val="00240951"/>
    <w:rsid w:val="00244F9D"/>
    <w:rsid w:val="00245845"/>
    <w:rsid w:val="002575DF"/>
    <w:rsid w:val="002600C8"/>
    <w:rsid w:val="0026054C"/>
    <w:rsid w:val="002608C9"/>
    <w:rsid w:val="00260CCB"/>
    <w:rsid w:val="002636F7"/>
    <w:rsid w:val="00270ACC"/>
    <w:rsid w:val="002738D0"/>
    <w:rsid w:val="00281E38"/>
    <w:rsid w:val="00284D34"/>
    <w:rsid w:val="00285279"/>
    <w:rsid w:val="00285599"/>
    <w:rsid w:val="0029113B"/>
    <w:rsid w:val="00291FAB"/>
    <w:rsid w:val="00292FBB"/>
    <w:rsid w:val="00297AB8"/>
    <w:rsid w:val="002A5D89"/>
    <w:rsid w:val="002A6113"/>
    <w:rsid w:val="002B2C41"/>
    <w:rsid w:val="002B2CC5"/>
    <w:rsid w:val="002B51DF"/>
    <w:rsid w:val="002C0B09"/>
    <w:rsid w:val="002C5697"/>
    <w:rsid w:val="002C58FD"/>
    <w:rsid w:val="002E0092"/>
    <w:rsid w:val="002E5BA2"/>
    <w:rsid w:val="002E7026"/>
    <w:rsid w:val="002F0408"/>
    <w:rsid w:val="00300724"/>
    <w:rsid w:val="003159CB"/>
    <w:rsid w:val="00322177"/>
    <w:rsid w:val="003328D1"/>
    <w:rsid w:val="0033651C"/>
    <w:rsid w:val="00340683"/>
    <w:rsid w:val="00340769"/>
    <w:rsid w:val="00340DFD"/>
    <w:rsid w:val="00342050"/>
    <w:rsid w:val="00347013"/>
    <w:rsid w:val="00347BC2"/>
    <w:rsid w:val="00354E80"/>
    <w:rsid w:val="003572D9"/>
    <w:rsid w:val="00357734"/>
    <w:rsid w:val="00363021"/>
    <w:rsid w:val="003643EA"/>
    <w:rsid w:val="003645D2"/>
    <w:rsid w:val="00376653"/>
    <w:rsid w:val="0037688D"/>
    <w:rsid w:val="00382704"/>
    <w:rsid w:val="00384CDB"/>
    <w:rsid w:val="00385168"/>
    <w:rsid w:val="003869A5"/>
    <w:rsid w:val="00390CB7"/>
    <w:rsid w:val="00393A37"/>
    <w:rsid w:val="00395834"/>
    <w:rsid w:val="003A0361"/>
    <w:rsid w:val="003A1025"/>
    <w:rsid w:val="003A6764"/>
    <w:rsid w:val="003B46D3"/>
    <w:rsid w:val="003C039D"/>
    <w:rsid w:val="003C0D6F"/>
    <w:rsid w:val="003D3DC8"/>
    <w:rsid w:val="003D4329"/>
    <w:rsid w:val="003E06AC"/>
    <w:rsid w:val="003E2452"/>
    <w:rsid w:val="003E3CA0"/>
    <w:rsid w:val="003E77FD"/>
    <w:rsid w:val="003F134B"/>
    <w:rsid w:val="003F2ECE"/>
    <w:rsid w:val="003F557B"/>
    <w:rsid w:val="003F5887"/>
    <w:rsid w:val="003F60CB"/>
    <w:rsid w:val="00406038"/>
    <w:rsid w:val="00411430"/>
    <w:rsid w:val="004137F4"/>
    <w:rsid w:val="00422D6C"/>
    <w:rsid w:val="00423966"/>
    <w:rsid w:val="00432C96"/>
    <w:rsid w:val="004414D7"/>
    <w:rsid w:val="0044241B"/>
    <w:rsid w:val="004503A7"/>
    <w:rsid w:val="00453A5B"/>
    <w:rsid w:val="00454B39"/>
    <w:rsid w:val="00455807"/>
    <w:rsid w:val="00457497"/>
    <w:rsid w:val="00461889"/>
    <w:rsid w:val="00461D0D"/>
    <w:rsid w:val="004627DA"/>
    <w:rsid w:val="0046284E"/>
    <w:rsid w:val="00464632"/>
    <w:rsid w:val="00467FC7"/>
    <w:rsid w:val="00470EE0"/>
    <w:rsid w:val="00471937"/>
    <w:rsid w:val="004822A5"/>
    <w:rsid w:val="00482A40"/>
    <w:rsid w:val="004840DC"/>
    <w:rsid w:val="004857DE"/>
    <w:rsid w:val="0048782E"/>
    <w:rsid w:val="00490093"/>
    <w:rsid w:val="00490BCB"/>
    <w:rsid w:val="00493BCC"/>
    <w:rsid w:val="00497003"/>
    <w:rsid w:val="004A05FB"/>
    <w:rsid w:val="004A2607"/>
    <w:rsid w:val="004A478D"/>
    <w:rsid w:val="004A4FD4"/>
    <w:rsid w:val="004A7528"/>
    <w:rsid w:val="004B63CC"/>
    <w:rsid w:val="004C4BF2"/>
    <w:rsid w:val="004D17A0"/>
    <w:rsid w:val="004D204A"/>
    <w:rsid w:val="004D27A7"/>
    <w:rsid w:val="004D6CB3"/>
    <w:rsid w:val="004D7A86"/>
    <w:rsid w:val="004E3585"/>
    <w:rsid w:val="004E56D0"/>
    <w:rsid w:val="004F1696"/>
    <w:rsid w:val="004F6029"/>
    <w:rsid w:val="00501970"/>
    <w:rsid w:val="00506FA2"/>
    <w:rsid w:val="005121D0"/>
    <w:rsid w:val="005156BD"/>
    <w:rsid w:val="00517799"/>
    <w:rsid w:val="005218D9"/>
    <w:rsid w:val="005406A6"/>
    <w:rsid w:val="00546CE7"/>
    <w:rsid w:val="0054706C"/>
    <w:rsid w:val="00551C92"/>
    <w:rsid w:val="005525B0"/>
    <w:rsid w:val="0055500C"/>
    <w:rsid w:val="0055760F"/>
    <w:rsid w:val="00564ECF"/>
    <w:rsid w:val="00566B53"/>
    <w:rsid w:val="005708F8"/>
    <w:rsid w:val="00572484"/>
    <w:rsid w:val="00572DE2"/>
    <w:rsid w:val="00573DFB"/>
    <w:rsid w:val="00576917"/>
    <w:rsid w:val="00577819"/>
    <w:rsid w:val="0058489E"/>
    <w:rsid w:val="0058775E"/>
    <w:rsid w:val="005878DF"/>
    <w:rsid w:val="0059011B"/>
    <w:rsid w:val="00594439"/>
    <w:rsid w:val="00594F1A"/>
    <w:rsid w:val="005A5E22"/>
    <w:rsid w:val="005A6EE4"/>
    <w:rsid w:val="005B1E15"/>
    <w:rsid w:val="005B4DD8"/>
    <w:rsid w:val="005C3809"/>
    <w:rsid w:val="005C7045"/>
    <w:rsid w:val="005D5B3F"/>
    <w:rsid w:val="005D60C1"/>
    <w:rsid w:val="005D6FC4"/>
    <w:rsid w:val="005E24B9"/>
    <w:rsid w:val="005F0A47"/>
    <w:rsid w:val="005F2F2C"/>
    <w:rsid w:val="005F3B21"/>
    <w:rsid w:val="00601B8C"/>
    <w:rsid w:val="00605F31"/>
    <w:rsid w:val="00610FFF"/>
    <w:rsid w:val="00614411"/>
    <w:rsid w:val="00616C98"/>
    <w:rsid w:val="0062388B"/>
    <w:rsid w:val="00626E70"/>
    <w:rsid w:val="00641D31"/>
    <w:rsid w:val="00641DDF"/>
    <w:rsid w:val="006474A0"/>
    <w:rsid w:val="00650054"/>
    <w:rsid w:val="00651801"/>
    <w:rsid w:val="006539C8"/>
    <w:rsid w:val="00662342"/>
    <w:rsid w:val="00663C52"/>
    <w:rsid w:val="0066404E"/>
    <w:rsid w:val="0066534B"/>
    <w:rsid w:val="00666AA3"/>
    <w:rsid w:val="00667C62"/>
    <w:rsid w:val="00670326"/>
    <w:rsid w:val="00671021"/>
    <w:rsid w:val="006724BE"/>
    <w:rsid w:val="00673914"/>
    <w:rsid w:val="00676612"/>
    <w:rsid w:val="00677604"/>
    <w:rsid w:val="00683338"/>
    <w:rsid w:val="0068530B"/>
    <w:rsid w:val="0068715E"/>
    <w:rsid w:val="0069666E"/>
    <w:rsid w:val="006A0B8E"/>
    <w:rsid w:val="006A0F16"/>
    <w:rsid w:val="006A6524"/>
    <w:rsid w:val="006A6A52"/>
    <w:rsid w:val="006B5C68"/>
    <w:rsid w:val="006C068A"/>
    <w:rsid w:val="006C08CE"/>
    <w:rsid w:val="006C0A82"/>
    <w:rsid w:val="006C0C71"/>
    <w:rsid w:val="006C1B80"/>
    <w:rsid w:val="006C2791"/>
    <w:rsid w:val="006C512F"/>
    <w:rsid w:val="006D0BA8"/>
    <w:rsid w:val="006D56CA"/>
    <w:rsid w:val="006E5C39"/>
    <w:rsid w:val="006F26A8"/>
    <w:rsid w:val="006F3636"/>
    <w:rsid w:val="00707B87"/>
    <w:rsid w:val="00707F12"/>
    <w:rsid w:val="00716E46"/>
    <w:rsid w:val="007224E2"/>
    <w:rsid w:val="00727BF2"/>
    <w:rsid w:val="007308B7"/>
    <w:rsid w:val="00732E25"/>
    <w:rsid w:val="00740E3F"/>
    <w:rsid w:val="0074115D"/>
    <w:rsid w:val="00744D1A"/>
    <w:rsid w:val="0074621D"/>
    <w:rsid w:val="007478B3"/>
    <w:rsid w:val="00747CAF"/>
    <w:rsid w:val="007576B5"/>
    <w:rsid w:val="007631F7"/>
    <w:rsid w:val="007659ED"/>
    <w:rsid w:val="007703AB"/>
    <w:rsid w:val="007731B1"/>
    <w:rsid w:val="00777715"/>
    <w:rsid w:val="00782B13"/>
    <w:rsid w:val="007856B3"/>
    <w:rsid w:val="00787AC9"/>
    <w:rsid w:val="00790748"/>
    <w:rsid w:val="007958D2"/>
    <w:rsid w:val="007A2972"/>
    <w:rsid w:val="007A635F"/>
    <w:rsid w:val="007A6ED2"/>
    <w:rsid w:val="007D0133"/>
    <w:rsid w:val="007D1D33"/>
    <w:rsid w:val="007D25C4"/>
    <w:rsid w:val="007E53D8"/>
    <w:rsid w:val="007E5EB2"/>
    <w:rsid w:val="007E7A26"/>
    <w:rsid w:val="007F16AF"/>
    <w:rsid w:val="007F7E2C"/>
    <w:rsid w:val="008007EE"/>
    <w:rsid w:val="0080270A"/>
    <w:rsid w:val="00804E41"/>
    <w:rsid w:val="008050EF"/>
    <w:rsid w:val="00806768"/>
    <w:rsid w:val="00812D2A"/>
    <w:rsid w:val="0081429E"/>
    <w:rsid w:val="00822A99"/>
    <w:rsid w:val="00824865"/>
    <w:rsid w:val="0082649C"/>
    <w:rsid w:val="00831148"/>
    <w:rsid w:val="00834BBA"/>
    <w:rsid w:val="00837A2A"/>
    <w:rsid w:val="00837B18"/>
    <w:rsid w:val="00837CCE"/>
    <w:rsid w:val="0084408E"/>
    <w:rsid w:val="00850D51"/>
    <w:rsid w:val="00852CB0"/>
    <w:rsid w:val="008571BC"/>
    <w:rsid w:val="00862377"/>
    <w:rsid w:val="008704BE"/>
    <w:rsid w:val="0087063E"/>
    <w:rsid w:val="0087117E"/>
    <w:rsid w:val="00875864"/>
    <w:rsid w:val="0087621D"/>
    <w:rsid w:val="0088270E"/>
    <w:rsid w:val="00885354"/>
    <w:rsid w:val="008948ED"/>
    <w:rsid w:val="008A1D9A"/>
    <w:rsid w:val="008B7292"/>
    <w:rsid w:val="008C02C8"/>
    <w:rsid w:val="008C1D04"/>
    <w:rsid w:val="008C55A8"/>
    <w:rsid w:val="008D403E"/>
    <w:rsid w:val="008D47FC"/>
    <w:rsid w:val="008D6EB7"/>
    <w:rsid w:val="008E0CC6"/>
    <w:rsid w:val="008E2DBC"/>
    <w:rsid w:val="008E35C3"/>
    <w:rsid w:val="008F41FD"/>
    <w:rsid w:val="00901B8A"/>
    <w:rsid w:val="00910694"/>
    <w:rsid w:val="00911E9D"/>
    <w:rsid w:val="00921953"/>
    <w:rsid w:val="0092538B"/>
    <w:rsid w:val="00931831"/>
    <w:rsid w:val="00931CE2"/>
    <w:rsid w:val="00934F05"/>
    <w:rsid w:val="009362D5"/>
    <w:rsid w:val="00940896"/>
    <w:rsid w:val="00942142"/>
    <w:rsid w:val="009427B5"/>
    <w:rsid w:val="00944C67"/>
    <w:rsid w:val="00953709"/>
    <w:rsid w:val="009544FF"/>
    <w:rsid w:val="009554AF"/>
    <w:rsid w:val="00957E2A"/>
    <w:rsid w:val="009621BC"/>
    <w:rsid w:val="00962484"/>
    <w:rsid w:val="00962BC4"/>
    <w:rsid w:val="00965AB1"/>
    <w:rsid w:val="00971FEF"/>
    <w:rsid w:val="00972358"/>
    <w:rsid w:val="00973805"/>
    <w:rsid w:val="00975A9A"/>
    <w:rsid w:val="0098120A"/>
    <w:rsid w:val="00985728"/>
    <w:rsid w:val="0099481E"/>
    <w:rsid w:val="00994B39"/>
    <w:rsid w:val="00996542"/>
    <w:rsid w:val="0099760C"/>
    <w:rsid w:val="009A2180"/>
    <w:rsid w:val="009B0E05"/>
    <w:rsid w:val="009B70AE"/>
    <w:rsid w:val="009C08DE"/>
    <w:rsid w:val="009C2181"/>
    <w:rsid w:val="009C5AD0"/>
    <w:rsid w:val="009D2457"/>
    <w:rsid w:val="009D551C"/>
    <w:rsid w:val="009D6D6D"/>
    <w:rsid w:val="009D768F"/>
    <w:rsid w:val="009E48E9"/>
    <w:rsid w:val="009F25A2"/>
    <w:rsid w:val="009F26EA"/>
    <w:rsid w:val="009F58A7"/>
    <w:rsid w:val="00A049EB"/>
    <w:rsid w:val="00A0637D"/>
    <w:rsid w:val="00A06498"/>
    <w:rsid w:val="00A11307"/>
    <w:rsid w:val="00A1795C"/>
    <w:rsid w:val="00A24F5A"/>
    <w:rsid w:val="00A25BF9"/>
    <w:rsid w:val="00A273BE"/>
    <w:rsid w:val="00A320F4"/>
    <w:rsid w:val="00A32ADB"/>
    <w:rsid w:val="00A336CD"/>
    <w:rsid w:val="00A36F07"/>
    <w:rsid w:val="00A43689"/>
    <w:rsid w:val="00A6309D"/>
    <w:rsid w:val="00A64DBE"/>
    <w:rsid w:val="00A6762F"/>
    <w:rsid w:val="00A76B27"/>
    <w:rsid w:val="00A773DC"/>
    <w:rsid w:val="00A8146E"/>
    <w:rsid w:val="00A83FA9"/>
    <w:rsid w:val="00A87235"/>
    <w:rsid w:val="00A8777B"/>
    <w:rsid w:val="00A87E84"/>
    <w:rsid w:val="00A91BAC"/>
    <w:rsid w:val="00A939D5"/>
    <w:rsid w:val="00A9688D"/>
    <w:rsid w:val="00A96F30"/>
    <w:rsid w:val="00A971FD"/>
    <w:rsid w:val="00A9721C"/>
    <w:rsid w:val="00AA2E4D"/>
    <w:rsid w:val="00AB5369"/>
    <w:rsid w:val="00AB7B44"/>
    <w:rsid w:val="00AC2510"/>
    <w:rsid w:val="00AC46E2"/>
    <w:rsid w:val="00AD07DA"/>
    <w:rsid w:val="00AD1120"/>
    <w:rsid w:val="00AD3B49"/>
    <w:rsid w:val="00AD73A0"/>
    <w:rsid w:val="00AE0B6C"/>
    <w:rsid w:val="00AE74CB"/>
    <w:rsid w:val="00B05251"/>
    <w:rsid w:val="00B30648"/>
    <w:rsid w:val="00B35A8A"/>
    <w:rsid w:val="00B37C5C"/>
    <w:rsid w:val="00B4593B"/>
    <w:rsid w:val="00B51857"/>
    <w:rsid w:val="00B53051"/>
    <w:rsid w:val="00B54779"/>
    <w:rsid w:val="00B60BD7"/>
    <w:rsid w:val="00B61C77"/>
    <w:rsid w:val="00B61CBB"/>
    <w:rsid w:val="00B6517D"/>
    <w:rsid w:val="00B666CD"/>
    <w:rsid w:val="00B765E2"/>
    <w:rsid w:val="00B76C93"/>
    <w:rsid w:val="00B7780C"/>
    <w:rsid w:val="00B84CDE"/>
    <w:rsid w:val="00B95A56"/>
    <w:rsid w:val="00B96140"/>
    <w:rsid w:val="00B9773A"/>
    <w:rsid w:val="00BA23BE"/>
    <w:rsid w:val="00BB29C2"/>
    <w:rsid w:val="00BB30F8"/>
    <w:rsid w:val="00BC2784"/>
    <w:rsid w:val="00BC2B9D"/>
    <w:rsid w:val="00BC4EAC"/>
    <w:rsid w:val="00BD0F6C"/>
    <w:rsid w:val="00BD2CA3"/>
    <w:rsid w:val="00BD4B1E"/>
    <w:rsid w:val="00BD61B0"/>
    <w:rsid w:val="00BD61CD"/>
    <w:rsid w:val="00BD65A9"/>
    <w:rsid w:val="00BD7F1C"/>
    <w:rsid w:val="00BE2346"/>
    <w:rsid w:val="00BF0EA3"/>
    <w:rsid w:val="00BF1CCD"/>
    <w:rsid w:val="00BF26CF"/>
    <w:rsid w:val="00C1122F"/>
    <w:rsid w:val="00C11C34"/>
    <w:rsid w:val="00C124A3"/>
    <w:rsid w:val="00C132F0"/>
    <w:rsid w:val="00C1469C"/>
    <w:rsid w:val="00C1739D"/>
    <w:rsid w:val="00C31FA6"/>
    <w:rsid w:val="00C33B84"/>
    <w:rsid w:val="00C350F7"/>
    <w:rsid w:val="00C35C50"/>
    <w:rsid w:val="00C36E42"/>
    <w:rsid w:val="00C46538"/>
    <w:rsid w:val="00C51ED3"/>
    <w:rsid w:val="00C53760"/>
    <w:rsid w:val="00C64987"/>
    <w:rsid w:val="00C65FA9"/>
    <w:rsid w:val="00C661E7"/>
    <w:rsid w:val="00C67BA8"/>
    <w:rsid w:val="00C71752"/>
    <w:rsid w:val="00C72A04"/>
    <w:rsid w:val="00C7390F"/>
    <w:rsid w:val="00C77D43"/>
    <w:rsid w:val="00C77F8D"/>
    <w:rsid w:val="00C82193"/>
    <w:rsid w:val="00C87873"/>
    <w:rsid w:val="00C903E0"/>
    <w:rsid w:val="00C92BA2"/>
    <w:rsid w:val="00C9623B"/>
    <w:rsid w:val="00C9785D"/>
    <w:rsid w:val="00CA098A"/>
    <w:rsid w:val="00CA1C2E"/>
    <w:rsid w:val="00CA47C0"/>
    <w:rsid w:val="00CC216F"/>
    <w:rsid w:val="00CD334D"/>
    <w:rsid w:val="00CD475E"/>
    <w:rsid w:val="00CD49EB"/>
    <w:rsid w:val="00CD6ADA"/>
    <w:rsid w:val="00CD6EBA"/>
    <w:rsid w:val="00CE061E"/>
    <w:rsid w:val="00CE34CA"/>
    <w:rsid w:val="00CE6BA7"/>
    <w:rsid w:val="00CE79A1"/>
    <w:rsid w:val="00CF2675"/>
    <w:rsid w:val="00D00FD1"/>
    <w:rsid w:val="00D0720C"/>
    <w:rsid w:val="00D11DA5"/>
    <w:rsid w:val="00D15840"/>
    <w:rsid w:val="00D17056"/>
    <w:rsid w:val="00D23E9E"/>
    <w:rsid w:val="00D33AB7"/>
    <w:rsid w:val="00D33CD4"/>
    <w:rsid w:val="00D3544A"/>
    <w:rsid w:val="00D410C4"/>
    <w:rsid w:val="00D60B03"/>
    <w:rsid w:val="00D61D2C"/>
    <w:rsid w:val="00D63A3B"/>
    <w:rsid w:val="00D64D00"/>
    <w:rsid w:val="00D656AC"/>
    <w:rsid w:val="00D659AF"/>
    <w:rsid w:val="00D65A25"/>
    <w:rsid w:val="00D723C5"/>
    <w:rsid w:val="00D7627B"/>
    <w:rsid w:val="00D80790"/>
    <w:rsid w:val="00D90563"/>
    <w:rsid w:val="00D90EB7"/>
    <w:rsid w:val="00D94EDE"/>
    <w:rsid w:val="00DB273B"/>
    <w:rsid w:val="00DB6C22"/>
    <w:rsid w:val="00DC0F59"/>
    <w:rsid w:val="00DD0355"/>
    <w:rsid w:val="00DD0DE8"/>
    <w:rsid w:val="00DD42D2"/>
    <w:rsid w:val="00DD5056"/>
    <w:rsid w:val="00DD6C39"/>
    <w:rsid w:val="00DD6EDB"/>
    <w:rsid w:val="00DD7086"/>
    <w:rsid w:val="00DE77DC"/>
    <w:rsid w:val="00DF53AA"/>
    <w:rsid w:val="00DF74F1"/>
    <w:rsid w:val="00E00DE0"/>
    <w:rsid w:val="00E01DCF"/>
    <w:rsid w:val="00E01DED"/>
    <w:rsid w:val="00E06099"/>
    <w:rsid w:val="00E12B8F"/>
    <w:rsid w:val="00E13265"/>
    <w:rsid w:val="00E14A3C"/>
    <w:rsid w:val="00E21BBD"/>
    <w:rsid w:val="00E21EF0"/>
    <w:rsid w:val="00E242DF"/>
    <w:rsid w:val="00E24DE8"/>
    <w:rsid w:val="00E24F3F"/>
    <w:rsid w:val="00E302A1"/>
    <w:rsid w:val="00E31FB0"/>
    <w:rsid w:val="00E322EE"/>
    <w:rsid w:val="00E35C84"/>
    <w:rsid w:val="00E54E5F"/>
    <w:rsid w:val="00E61977"/>
    <w:rsid w:val="00E63683"/>
    <w:rsid w:val="00E67E61"/>
    <w:rsid w:val="00E72661"/>
    <w:rsid w:val="00E76619"/>
    <w:rsid w:val="00E83352"/>
    <w:rsid w:val="00E83494"/>
    <w:rsid w:val="00E87C09"/>
    <w:rsid w:val="00E92159"/>
    <w:rsid w:val="00E97F3F"/>
    <w:rsid w:val="00EA1AC2"/>
    <w:rsid w:val="00EA28A5"/>
    <w:rsid w:val="00EA57DA"/>
    <w:rsid w:val="00EA6122"/>
    <w:rsid w:val="00EB2C77"/>
    <w:rsid w:val="00EB40B4"/>
    <w:rsid w:val="00EB52A3"/>
    <w:rsid w:val="00EB5C30"/>
    <w:rsid w:val="00EC1387"/>
    <w:rsid w:val="00EC1F3A"/>
    <w:rsid w:val="00EC38FB"/>
    <w:rsid w:val="00EC5EB7"/>
    <w:rsid w:val="00EC6925"/>
    <w:rsid w:val="00EC7A0E"/>
    <w:rsid w:val="00ED323B"/>
    <w:rsid w:val="00ED5298"/>
    <w:rsid w:val="00EE0E39"/>
    <w:rsid w:val="00EE3012"/>
    <w:rsid w:val="00EE5E0E"/>
    <w:rsid w:val="00EE5EAC"/>
    <w:rsid w:val="00EF57DB"/>
    <w:rsid w:val="00F11BF1"/>
    <w:rsid w:val="00F13825"/>
    <w:rsid w:val="00F14680"/>
    <w:rsid w:val="00F17FC5"/>
    <w:rsid w:val="00F300D2"/>
    <w:rsid w:val="00F364FB"/>
    <w:rsid w:val="00F3700C"/>
    <w:rsid w:val="00F40B54"/>
    <w:rsid w:val="00F46E69"/>
    <w:rsid w:val="00F50C73"/>
    <w:rsid w:val="00F50E45"/>
    <w:rsid w:val="00F51395"/>
    <w:rsid w:val="00F55C5B"/>
    <w:rsid w:val="00F57E64"/>
    <w:rsid w:val="00F644E5"/>
    <w:rsid w:val="00F6471E"/>
    <w:rsid w:val="00F64FD6"/>
    <w:rsid w:val="00F66DB2"/>
    <w:rsid w:val="00F67813"/>
    <w:rsid w:val="00F723D6"/>
    <w:rsid w:val="00F72EA4"/>
    <w:rsid w:val="00F80573"/>
    <w:rsid w:val="00F81074"/>
    <w:rsid w:val="00F8326C"/>
    <w:rsid w:val="00F842F1"/>
    <w:rsid w:val="00F91C96"/>
    <w:rsid w:val="00F920FA"/>
    <w:rsid w:val="00FA15B6"/>
    <w:rsid w:val="00FA3A23"/>
    <w:rsid w:val="00FA54E4"/>
    <w:rsid w:val="00FB1CB4"/>
    <w:rsid w:val="00FB20ED"/>
    <w:rsid w:val="00FC2ABC"/>
    <w:rsid w:val="00FC5930"/>
    <w:rsid w:val="00FD21C4"/>
    <w:rsid w:val="00FD425A"/>
    <w:rsid w:val="00FD78B5"/>
    <w:rsid w:val="00FF0571"/>
    <w:rsid w:val="00FF23AE"/>
    <w:rsid w:val="00FF2875"/>
    <w:rsid w:val="00FF41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56AC"/>
    <w:pPr>
      <w:spacing w:after="0" w:line="240" w:lineRule="auto"/>
    </w:pPr>
  </w:style>
  <w:style w:type="paragraph" w:styleId="Heading1">
    <w:name w:val="heading 1"/>
    <w:basedOn w:val="Normal"/>
    <w:next w:val="Normal"/>
    <w:link w:val="Heading1Char"/>
    <w:uiPriority w:val="9"/>
    <w:qFormat/>
    <w:rsid w:val="005A6EE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1A41"/>
    <w:pPr>
      <w:keepNext/>
      <w:keepLines/>
      <w:spacing w:before="200"/>
      <w:outlineLvl w:val="1"/>
    </w:pPr>
    <w:rPr>
      <w:rFonts w:ascii="Gill Sans MT" w:eastAsiaTheme="majorEastAsia" w:hAnsi="Gill Sans MT" w:cstheme="majorBidi"/>
      <w:bCs/>
      <w:color w:val="1F497D" w:themeColor="text2"/>
      <w:sz w:val="24"/>
      <w:szCs w:val="26"/>
    </w:rPr>
  </w:style>
  <w:style w:type="paragraph" w:styleId="Heading3">
    <w:name w:val="heading 3"/>
    <w:basedOn w:val="Normal"/>
    <w:next w:val="Normal"/>
    <w:link w:val="Heading3Char"/>
    <w:uiPriority w:val="9"/>
    <w:semiHidden/>
    <w:unhideWhenUsed/>
    <w:qFormat/>
    <w:rsid w:val="0092538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121D0"/>
    <w:pPr>
      <w:ind w:left="720"/>
      <w:contextualSpacing/>
    </w:pPr>
  </w:style>
  <w:style w:type="paragraph" w:styleId="FootnoteText">
    <w:name w:val="footnote text"/>
    <w:aliases w:val="Footnote Text WBR,WBR Char,FOOTNOTES,fn,single space,ADB,footnote text Char,fn Char,ADB Char,single space Char Char,Fußnotentextf,WBR"/>
    <w:basedOn w:val="Normal"/>
    <w:link w:val="FootnoteTextChar"/>
    <w:uiPriority w:val="99"/>
    <w:unhideWhenUsed/>
    <w:rsid w:val="00DB273B"/>
    <w:rPr>
      <w:rFonts w:ascii="Times New Roman" w:eastAsia="Times New Roman" w:hAnsi="Times New Roman" w:cs="Times New Roman"/>
      <w:sz w:val="20"/>
      <w:szCs w:val="20"/>
    </w:rPr>
  </w:style>
  <w:style w:type="character" w:customStyle="1" w:styleId="FootnoteTextChar">
    <w:name w:val="Footnote Text Char"/>
    <w:aliases w:val="Footnote Text WBR Char,WBR Char Char,FOOTNOTES Char,fn Char1,single space Char,ADB Char1,footnote text Char Char,fn Char Char,ADB Char Char,single space Char Char Char,Fußnotentextf Char,WBR Char1"/>
    <w:basedOn w:val="DefaultParagraphFont"/>
    <w:link w:val="FootnoteText"/>
    <w:uiPriority w:val="99"/>
    <w:rsid w:val="00DB273B"/>
    <w:rPr>
      <w:rFonts w:ascii="Times New Roman" w:eastAsia="Times New Roman" w:hAnsi="Times New Roman" w:cs="Times New Roman"/>
      <w:sz w:val="20"/>
      <w:szCs w:val="20"/>
    </w:rPr>
  </w:style>
  <w:style w:type="character" w:styleId="FootnoteReference">
    <w:name w:val="footnote reference"/>
    <w:aliases w:val="Footnote Reference Number,Ref,de nota al pie,16 Point,Superscript 6 Point,Appel note de bas de page,ftref,BVI fnr,Normal + Font:9 Point,Superscript 3 Point Times,FNRefe Char Char,BVI fnr Char Char,BVI fnr Char Char Char,ftre,fr"/>
    <w:basedOn w:val="DefaultParagraphFont"/>
    <w:link w:val="FNRefeCharCharChar"/>
    <w:uiPriority w:val="99"/>
    <w:unhideWhenUsed/>
    <w:rsid w:val="00DB273B"/>
    <w:rPr>
      <w:vertAlign w:val="superscript"/>
    </w:rPr>
  </w:style>
  <w:style w:type="character" w:styleId="Hyperlink">
    <w:name w:val="Hyperlink"/>
    <w:basedOn w:val="DefaultParagraphFont"/>
    <w:uiPriority w:val="99"/>
    <w:unhideWhenUsed/>
    <w:rsid w:val="005406A6"/>
    <w:rPr>
      <w:color w:val="0000FF" w:themeColor="hyperlink"/>
      <w:u w:val="single"/>
    </w:rPr>
  </w:style>
  <w:style w:type="character" w:customStyle="1" w:styleId="ListParagraphChar">
    <w:name w:val="List Paragraph Char"/>
    <w:link w:val="ListParagraph"/>
    <w:uiPriority w:val="34"/>
    <w:rsid w:val="00573DFB"/>
  </w:style>
  <w:style w:type="table" w:styleId="TableGrid">
    <w:name w:val="Table Grid"/>
    <w:basedOn w:val="TableNormal"/>
    <w:uiPriority w:val="59"/>
    <w:rsid w:val="005177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A4FD4"/>
    <w:pPr>
      <w:spacing w:after="0" w:line="240" w:lineRule="auto"/>
    </w:pPr>
    <w:rPr>
      <w:rFonts w:ascii="Times New Roman" w:hAnsi="Times New Roman"/>
      <w:sz w:val="24"/>
    </w:rPr>
  </w:style>
  <w:style w:type="paragraph" w:styleId="Title">
    <w:name w:val="Title"/>
    <w:basedOn w:val="Normal"/>
    <w:next w:val="Normal"/>
    <w:link w:val="TitleChar"/>
    <w:uiPriority w:val="10"/>
    <w:qFormat/>
    <w:rsid w:val="0016417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64174"/>
    <w:rPr>
      <w:rFonts w:asciiTheme="majorHAnsi" w:eastAsiaTheme="majorEastAsia" w:hAnsiTheme="majorHAnsi" w:cstheme="majorBidi"/>
      <w:color w:val="17365D" w:themeColor="text2" w:themeShade="BF"/>
      <w:spacing w:val="5"/>
      <w:kern w:val="28"/>
      <w:sz w:val="52"/>
      <w:szCs w:val="52"/>
    </w:rPr>
  </w:style>
  <w:style w:type="paragraph" w:customStyle="1" w:styleId="Heading2New">
    <w:name w:val="Heading 2 New"/>
    <w:basedOn w:val="Normal"/>
    <w:link w:val="Heading2NewChar"/>
    <w:qFormat/>
    <w:rsid w:val="00164174"/>
    <w:pPr>
      <w:keepNext/>
      <w:keepLines/>
      <w:pBdr>
        <w:left w:val="single" w:sz="48" w:space="18" w:color="E36F1E"/>
      </w:pBdr>
      <w:spacing w:before="120"/>
      <w:outlineLvl w:val="1"/>
    </w:pPr>
    <w:rPr>
      <w:rFonts w:ascii="Gill Sans MT" w:eastAsia="Times New Roman" w:hAnsi="Gill Sans MT" w:cs="Times New Roman"/>
      <w:bCs/>
      <w:smallCaps/>
      <w:color w:val="E36F1E"/>
      <w:spacing w:val="20"/>
      <w:sz w:val="24"/>
      <w:szCs w:val="26"/>
    </w:rPr>
  </w:style>
  <w:style w:type="paragraph" w:customStyle="1" w:styleId="Style1">
    <w:name w:val="Style1"/>
    <w:basedOn w:val="Heading2New"/>
    <w:link w:val="Style1Char"/>
    <w:qFormat/>
    <w:rsid w:val="00164174"/>
  </w:style>
  <w:style w:type="character" w:customStyle="1" w:styleId="Heading2NewChar">
    <w:name w:val="Heading 2 New Char"/>
    <w:basedOn w:val="DefaultParagraphFont"/>
    <w:link w:val="Heading2New"/>
    <w:rsid w:val="00164174"/>
    <w:rPr>
      <w:rFonts w:ascii="Gill Sans MT" w:eastAsia="Times New Roman" w:hAnsi="Gill Sans MT" w:cs="Times New Roman"/>
      <w:bCs/>
      <w:smallCaps/>
      <w:color w:val="E36F1E"/>
      <w:spacing w:val="20"/>
      <w:sz w:val="24"/>
      <w:szCs w:val="26"/>
    </w:rPr>
  </w:style>
  <w:style w:type="character" w:customStyle="1" w:styleId="apple-converted-space">
    <w:name w:val="apple-converted-space"/>
    <w:basedOn w:val="DefaultParagraphFont"/>
    <w:rsid w:val="008948ED"/>
  </w:style>
  <w:style w:type="character" w:customStyle="1" w:styleId="Style1Char">
    <w:name w:val="Style1 Char"/>
    <w:basedOn w:val="Heading2NewChar"/>
    <w:link w:val="Style1"/>
    <w:rsid w:val="00164174"/>
    <w:rPr>
      <w:rFonts w:ascii="Gill Sans MT" w:eastAsia="Times New Roman" w:hAnsi="Gill Sans MT" w:cs="Times New Roman"/>
      <w:bCs/>
      <w:smallCaps/>
      <w:color w:val="E36F1E"/>
      <w:spacing w:val="20"/>
      <w:sz w:val="24"/>
      <w:szCs w:val="26"/>
    </w:rPr>
  </w:style>
  <w:style w:type="character" w:customStyle="1" w:styleId="file">
    <w:name w:val="file"/>
    <w:basedOn w:val="DefaultParagraphFont"/>
    <w:rsid w:val="008948ED"/>
  </w:style>
  <w:style w:type="character" w:customStyle="1" w:styleId="journalname">
    <w:name w:val="journalname"/>
    <w:basedOn w:val="DefaultParagraphFont"/>
    <w:rsid w:val="008948ED"/>
  </w:style>
  <w:style w:type="character" w:customStyle="1" w:styleId="year">
    <w:name w:val="year"/>
    <w:basedOn w:val="DefaultParagraphFont"/>
    <w:rsid w:val="008948ED"/>
  </w:style>
  <w:style w:type="character" w:customStyle="1" w:styleId="page">
    <w:name w:val="page"/>
    <w:basedOn w:val="DefaultParagraphFont"/>
    <w:rsid w:val="008948ED"/>
  </w:style>
  <w:style w:type="character" w:styleId="FollowedHyperlink">
    <w:name w:val="FollowedHyperlink"/>
    <w:basedOn w:val="DefaultParagraphFont"/>
    <w:uiPriority w:val="99"/>
    <w:semiHidden/>
    <w:unhideWhenUsed/>
    <w:rsid w:val="008948ED"/>
    <w:rPr>
      <w:color w:val="800080" w:themeColor="followedHyperlink"/>
      <w:u w:val="single"/>
    </w:rPr>
  </w:style>
  <w:style w:type="paragraph" w:styleId="Header">
    <w:name w:val="header"/>
    <w:basedOn w:val="Normal"/>
    <w:link w:val="HeaderChar"/>
    <w:uiPriority w:val="99"/>
    <w:unhideWhenUsed/>
    <w:rsid w:val="00EC5EB7"/>
    <w:pPr>
      <w:tabs>
        <w:tab w:val="center" w:pos="4680"/>
        <w:tab w:val="right" w:pos="9360"/>
      </w:tabs>
    </w:pPr>
  </w:style>
  <w:style w:type="character" w:customStyle="1" w:styleId="HeaderChar">
    <w:name w:val="Header Char"/>
    <w:basedOn w:val="DefaultParagraphFont"/>
    <w:link w:val="Header"/>
    <w:uiPriority w:val="99"/>
    <w:rsid w:val="00EC5EB7"/>
  </w:style>
  <w:style w:type="paragraph" w:styleId="Footer">
    <w:name w:val="footer"/>
    <w:basedOn w:val="Normal"/>
    <w:link w:val="FooterChar"/>
    <w:uiPriority w:val="99"/>
    <w:unhideWhenUsed/>
    <w:rsid w:val="00EC5EB7"/>
    <w:pPr>
      <w:tabs>
        <w:tab w:val="center" w:pos="4680"/>
        <w:tab w:val="right" w:pos="9360"/>
      </w:tabs>
    </w:pPr>
  </w:style>
  <w:style w:type="character" w:customStyle="1" w:styleId="FooterChar">
    <w:name w:val="Footer Char"/>
    <w:basedOn w:val="DefaultParagraphFont"/>
    <w:link w:val="Footer"/>
    <w:uiPriority w:val="99"/>
    <w:rsid w:val="00EC5EB7"/>
  </w:style>
  <w:style w:type="character" w:styleId="CommentReference">
    <w:name w:val="annotation reference"/>
    <w:basedOn w:val="DefaultParagraphFont"/>
    <w:uiPriority w:val="99"/>
    <w:semiHidden/>
    <w:unhideWhenUsed/>
    <w:rsid w:val="00AB7B44"/>
    <w:rPr>
      <w:sz w:val="16"/>
      <w:szCs w:val="16"/>
    </w:rPr>
  </w:style>
  <w:style w:type="paragraph" w:styleId="CommentText">
    <w:name w:val="annotation text"/>
    <w:basedOn w:val="Normal"/>
    <w:link w:val="CommentTextChar"/>
    <w:uiPriority w:val="99"/>
    <w:unhideWhenUsed/>
    <w:rsid w:val="00AB7B44"/>
    <w:rPr>
      <w:sz w:val="20"/>
      <w:szCs w:val="20"/>
    </w:rPr>
  </w:style>
  <w:style w:type="character" w:customStyle="1" w:styleId="CommentTextChar">
    <w:name w:val="Comment Text Char"/>
    <w:basedOn w:val="DefaultParagraphFont"/>
    <w:link w:val="CommentText"/>
    <w:uiPriority w:val="99"/>
    <w:rsid w:val="00AB7B44"/>
    <w:rPr>
      <w:sz w:val="20"/>
      <w:szCs w:val="20"/>
    </w:rPr>
  </w:style>
  <w:style w:type="paragraph" w:styleId="CommentSubject">
    <w:name w:val="annotation subject"/>
    <w:basedOn w:val="CommentText"/>
    <w:next w:val="CommentText"/>
    <w:link w:val="CommentSubjectChar"/>
    <w:uiPriority w:val="99"/>
    <w:semiHidden/>
    <w:unhideWhenUsed/>
    <w:rsid w:val="00AB7B44"/>
    <w:rPr>
      <w:b/>
      <w:bCs/>
    </w:rPr>
  </w:style>
  <w:style w:type="character" w:customStyle="1" w:styleId="CommentSubjectChar">
    <w:name w:val="Comment Subject Char"/>
    <w:basedOn w:val="CommentTextChar"/>
    <w:link w:val="CommentSubject"/>
    <w:uiPriority w:val="99"/>
    <w:semiHidden/>
    <w:rsid w:val="00AB7B44"/>
    <w:rPr>
      <w:b/>
      <w:bCs/>
      <w:sz w:val="20"/>
      <w:szCs w:val="20"/>
    </w:rPr>
  </w:style>
  <w:style w:type="paragraph" w:styleId="BalloonText">
    <w:name w:val="Balloon Text"/>
    <w:basedOn w:val="Normal"/>
    <w:link w:val="BalloonTextChar"/>
    <w:uiPriority w:val="99"/>
    <w:semiHidden/>
    <w:unhideWhenUsed/>
    <w:rsid w:val="00AB7B44"/>
    <w:rPr>
      <w:rFonts w:ascii="Tahoma" w:hAnsi="Tahoma" w:cs="Tahoma"/>
      <w:sz w:val="16"/>
      <w:szCs w:val="16"/>
    </w:rPr>
  </w:style>
  <w:style w:type="character" w:customStyle="1" w:styleId="BalloonTextChar">
    <w:name w:val="Balloon Text Char"/>
    <w:basedOn w:val="DefaultParagraphFont"/>
    <w:link w:val="BalloonText"/>
    <w:uiPriority w:val="99"/>
    <w:semiHidden/>
    <w:rsid w:val="00AB7B44"/>
    <w:rPr>
      <w:rFonts w:ascii="Tahoma" w:hAnsi="Tahoma" w:cs="Tahoma"/>
      <w:sz w:val="16"/>
      <w:szCs w:val="16"/>
    </w:rPr>
  </w:style>
  <w:style w:type="character" w:customStyle="1" w:styleId="Heading2Char">
    <w:name w:val="Heading 2 Char"/>
    <w:basedOn w:val="DefaultParagraphFont"/>
    <w:link w:val="Heading2"/>
    <w:uiPriority w:val="9"/>
    <w:rsid w:val="001E1A41"/>
    <w:rPr>
      <w:rFonts w:ascii="Gill Sans MT" w:eastAsiaTheme="majorEastAsia" w:hAnsi="Gill Sans MT" w:cstheme="majorBidi"/>
      <w:bCs/>
      <w:color w:val="1F497D" w:themeColor="text2"/>
      <w:sz w:val="24"/>
      <w:szCs w:val="26"/>
    </w:rPr>
  </w:style>
  <w:style w:type="character" w:customStyle="1" w:styleId="Heading3Char">
    <w:name w:val="Heading 3 Char"/>
    <w:basedOn w:val="DefaultParagraphFont"/>
    <w:link w:val="Heading3"/>
    <w:uiPriority w:val="9"/>
    <w:semiHidden/>
    <w:rsid w:val="0092538B"/>
    <w:rPr>
      <w:rFonts w:asciiTheme="majorHAnsi" w:eastAsiaTheme="majorEastAsia" w:hAnsiTheme="majorHAnsi" w:cstheme="majorBidi"/>
      <w:b/>
      <w:bCs/>
      <w:color w:val="4F81BD" w:themeColor="accent1"/>
    </w:rPr>
  </w:style>
  <w:style w:type="paragraph" w:styleId="Revision">
    <w:name w:val="Revision"/>
    <w:hidden/>
    <w:uiPriority w:val="99"/>
    <w:semiHidden/>
    <w:rsid w:val="0092538B"/>
    <w:pPr>
      <w:spacing w:after="0" w:line="240" w:lineRule="auto"/>
    </w:pPr>
  </w:style>
  <w:style w:type="paragraph" w:styleId="EndnoteText">
    <w:name w:val="endnote text"/>
    <w:basedOn w:val="Normal"/>
    <w:link w:val="EndnoteTextChar"/>
    <w:uiPriority w:val="99"/>
    <w:unhideWhenUsed/>
    <w:rsid w:val="00A87E84"/>
    <w:rPr>
      <w:sz w:val="20"/>
      <w:szCs w:val="20"/>
    </w:rPr>
  </w:style>
  <w:style w:type="character" w:customStyle="1" w:styleId="EndnoteTextChar">
    <w:name w:val="Endnote Text Char"/>
    <w:basedOn w:val="DefaultParagraphFont"/>
    <w:link w:val="EndnoteText"/>
    <w:uiPriority w:val="99"/>
    <w:rsid w:val="00A87E84"/>
    <w:rPr>
      <w:sz w:val="20"/>
      <w:szCs w:val="20"/>
    </w:rPr>
  </w:style>
  <w:style w:type="character" w:styleId="EndnoteReference">
    <w:name w:val="endnote reference"/>
    <w:basedOn w:val="DefaultParagraphFont"/>
    <w:uiPriority w:val="99"/>
    <w:semiHidden/>
    <w:unhideWhenUsed/>
    <w:rsid w:val="00A87E84"/>
    <w:rPr>
      <w:vertAlign w:val="superscript"/>
    </w:rPr>
  </w:style>
  <w:style w:type="paragraph" w:styleId="Caption">
    <w:name w:val="caption"/>
    <w:basedOn w:val="Normal"/>
    <w:next w:val="Normal"/>
    <w:uiPriority w:val="35"/>
    <w:unhideWhenUsed/>
    <w:qFormat/>
    <w:rsid w:val="001F520A"/>
    <w:rPr>
      <w:b/>
      <w:bCs/>
      <w:color w:val="4F81BD" w:themeColor="accent1"/>
      <w:sz w:val="18"/>
      <w:szCs w:val="18"/>
    </w:rPr>
  </w:style>
  <w:style w:type="table" w:styleId="LightList-Accent3">
    <w:name w:val="Light List Accent 3"/>
    <w:basedOn w:val="TableNormal"/>
    <w:uiPriority w:val="61"/>
    <w:rsid w:val="00461889"/>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FNRefeCharCharChar">
    <w:name w:val="FNRefe Char Char Char"/>
    <w:aliases w:val="BVI fnr Char Char Char Char,BVI fnr Car Car Char Char Char Char,BVI fnr Car Char Char Char Char,BVI fnr Car Car Car Car Char Char Char Char Char Char,Ref Char"/>
    <w:basedOn w:val="Normal"/>
    <w:link w:val="FootnoteReference"/>
    <w:uiPriority w:val="99"/>
    <w:rsid w:val="00C72A04"/>
    <w:pPr>
      <w:spacing w:after="160" w:line="240" w:lineRule="exact"/>
    </w:pPr>
    <w:rPr>
      <w:vertAlign w:val="superscript"/>
    </w:rPr>
  </w:style>
  <w:style w:type="character" w:customStyle="1" w:styleId="Heading1Char">
    <w:name w:val="Heading 1 Char"/>
    <w:basedOn w:val="DefaultParagraphFont"/>
    <w:link w:val="Heading1"/>
    <w:uiPriority w:val="9"/>
    <w:rsid w:val="005A6EE4"/>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semiHidden/>
    <w:unhideWhenUsed/>
    <w:rsid w:val="00E06099"/>
    <w:pPr>
      <w:spacing w:before="100" w:beforeAutospacing="1" w:after="100" w:afterAutospacing="1"/>
    </w:pPr>
    <w:rPr>
      <w:rFonts w:ascii="Times New Roman" w:eastAsia="Times New Roman" w:hAnsi="Times New Roman" w:cs="Times New Roman"/>
      <w:sz w:val="24"/>
      <w:szCs w:val="24"/>
    </w:rPr>
  </w:style>
  <w:style w:type="table" w:customStyle="1" w:styleId="LightGrid1">
    <w:name w:val="Light Grid1"/>
    <w:basedOn w:val="TableNormal"/>
    <w:next w:val="LightGrid"/>
    <w:uiPriority w:val="62"/>
    <w:rsid w:val="00A43689"/>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
    <w:name w:val="Light Grid"/>
    <w:basedOn w:val="TableNormal"/>
    <w:uiPriority w:val="62"/>
    <w:rsid w:val="00A4368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Default">
    <w:name w:val="Default"/>
    <w:rsid w:val="00354E80"/>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68715E"/>
    <w:rPr>
      <w:i/>
      <w:iCs/>
    </w:rPr>
  </w:style>
  <w:style w:type="character" w:styleId="Strong">
    <w:name w:val="Strong"/>
    <w:basedOn w:val="DefaultParagraphFont"/>
    <w:uiPriority w:val="22"/>
    <w:qFormat/>
    <w:rsid w:val="003F588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56AC"/>
    <w:pPr>
      <w:spacing w:after="0" w:line="240" w:lineRule="auto"/>
    </w:pPr>
  </w:style>
  <w:style w:type="paragraph" w:styleId="Heading1">
    <w:name w:val="heading 1"/>
    <w:basedOn w:val="Normal"/>
    <w:next w:val="Normal"/>
    <w:link w:val="Heading1Char"/>
    <w:uiPriority w:val="9"/>
    <w:qFormat/>
    <w:rsid w:val="005A6EE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1A41"/>
    <w:pPr>
      <w:keepNext/>
      <w:keepLines/>
      <w:spacing w:before="200"/>
      <w:outlineLvl w:val="1"/>
    </w:pPr>
    <w:rPr>
      <w:rFonts w:ascii="Gill Sans MT" w:eastAsiaTheme="majorEastAsia" w:hAnsi="Gill Sans MT" w:cstheme="majorBidi"/>
      <w:bCs/>
      <w:color w:val="1F497D" w:themeColor="text2"/>
      <w:sz w:val="24"/>
      <w:szCs w:val="26"/>
    </w:rPr>
  </w:style>
  <w:style w:type="paragraph" w:styleId="Heading3">
    <w:name w:val="heading 3"/>
    <w:basedOn w:val="Normal"/>
    <w:next w:val="Normal"/>
    <w:link w:val="Heading3Char"/>
    <w:uiPriority w:val="9"/>
    <w:semiHidden/>
    <w:unhideWhenUsed/>
    <w:qFormat/>
    <w:rsid w:val="0092538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121D0"/>
    <w:pPr>
      <w:ind w:left="720"/>
      <w:contextualSpacing/>
    </w:pPr>
  </w:style>
  <w:style w:type="paragraph" w:styleId="FootnoteText">
    <w:name w:val="footnote text"/>
    <w:aliases w:val="Footnote Text WBR,WBR Char,FOOTNOTES,fn,single space,ADB,footnote text Char,fn Char,ADB Char,single space Char Char,Fußnotentextf,WBR"/>
    <w:basedOn w:val="Normal"/>
    <w:link w:val="FootnoteTextChar"/>
    <w:uiPriority w:val="99"/>
    <w:unhideWhenUsed/>
    <w:rsid w:val="00DB273B"/>
    <w:rPr>
      <w:rFonts w:ascii="Times New Roman" w:eastAsia="Times New Roman" w:hAnsi="Times New Roman" w:cs="Times New Roman"/>
      <w:sz w:val="20"/>
      <w:szCs w:val="20"/>
    </w:rPr>
  </w:style>
  <w:style w:type="character" w:customStyle="1" w:styleId="FootnoteTextChar">
    <w:name w:val="Footnote Text Char"/>
    <w:aliases w:val="Footnote Text WBR Char,WBR Char Char,FOOTNOTES Char,fn Char1,single space Char,ADB Char1,footnote text Char Char,fn Char Char,ADB Char Char,single space Char Char Char,Fußnotentextf Char,WBR Char1"/>
    <w:basedOn w:val="DefaultParagraphFont"/>
    <w:link w:val="FootnoteText"/>
    <w:uiPriority w:val="99"/>
    <w:rsid w:val="00DB273B"/>
    <w:rPr>
      <w:rFonts w:ascii="Times New Roman" w:eastAsia="Times New Roman" w:hAnsi="Times New Roman" w:cs="Times New Roman"/>
      <w:sz w:val="20"/>
      <w:szCs w:val="20"/>
    </w:rPr>
  </w:style>
  <w:style w:type="character" w:styleId="FootnoteReference">
    <w:name w:val="footnote reference"/>
    <w:aliases w:val="Footnote Reference Number,Ref,de nota al pie,16 Point,Superscript 6 Point,Appel note de bas de page,ftref,BVI fnr,Normal + Font:9 Point,Superscript 3 Point Times,FNRefe Char Char,BVI fnr Char Char,BVI fnr Char Char Char,ftre,fr"/>
    <w:basedOn w:val="DefaultParagraphFont"/>
    <w:link w:val="FNRefeCharCharChar"/>
    <w:uiPriority w:val="99"/>
    <w:unhideWhenUsed/>
    <w:rsid w:val="00DB273B"/>
    <w:rPr>
      <w:vertAlign w:val="superscript"/>
    </w:rPr>
  </w:style>
  <w:style w:type="character" w:styleId="Hyperlink">
    <w:name w:val="Hyperlink"/>
    <w:basedOn w:val="DefaultParagraphFont"/>
    <w:uiPriority w:val="99"/>
    <w:unhideWhenUsed/>
    <w:rsid w:val="005406A6"/>
    <w:rPr>
      <w:color w:val="0000FF" w:themeColor="hyperlink"/>
      <w:u w:val="single"/>
    </w:rPr>
  </w:style>
  <w:style w:type="character" w:customStyle="1" w:styleId="ListParagraphChar">
    <w:name w:val="List Paragraph Char"/>
    <w:link w:val="ListParagraph"/>
    <w:uiPriority w:val="34"/>
    <w:rsid w:val="00573DFB"/>
  </w:style>
  <w:style w:type="table" w:styleId="TableGrid">
    <w:name w:val="Table Grid"/>
    <w:basedOn w:val="TableNormal"/>
    <w:uiPriority w:val="59"/>
    <w:rsid w:val="005177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A4FD4"/>
    <w:pPr>
      <w:spacing w:after="0" w:line="240" w:lineRule="auto"/>
    </w:pPr>
    <w:rPr>
      <w:rFonts w:ascii="Times New Roman" w:hAnsi="Times New Roman"/>
      <w:sz w:val="24"/>
    </w:rPr>
  </w:style>
  <w:style w:type="paragraph" w:styleId="Title">
    <w:name w:val="Title"/>
    <w:basedOn w:val="Normal"/>
    <w:next w:val="Normal"/>
    <w:link w:val="TitleChar"/>
    <w:uiPriority w:val="10"/>
    <w:qFormat/>
    <w:rsid w:val="0016417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64174"/>
    <w:rPr>
      <w:rFonts w:asciiTheme="majorHAnsi" w:eastAsiaTheme="majorEastAsia" w:hAnsiTheme="majorHAnsi" w:cstheme="majorBidi"/>
      <w:color w:val="17365D" w:themeColor="text2" w:themeShade="BF"/>
      <w:spacing w:val="5"/>
      <w:kern w:val="28"/>
      <w:sz w:val="52"/>
      <w:szCs w:val="52"/>
    </w:rPr>
  </w:style>
  <w:style w:type="paragraph" w:customStyle="1" w:styleId="Heading2New">
    <w:name w:val="Heading 2 New"/>
    <w:basedOn w:val="Normal"/>
    <w:link w:val="Heading2NewChar"/>
    <w:qFormat/>
    <w:rsid w:val="00164174"/>
    <w:pPr>
      <w:keepNext/>
      <w:keepLines/>
      <w:pBdr>
        <w:left w:val="single" w:sz="48" w:space="18" w:color="E36F1E"/>
      </w:pBdr>
      <w:spacing w:before="120"/>
      <w:outlineLvl w:val="1"/>
    </w:pPr>
    <w:rPr>
      <w:rFonts w:ascii="Gill Sans MT" w:eastAsia="Times New Roman" w:hAnsi="Gill Sans MT" w:cs="Times New Roman"/>
      <w:bCs/>
      <w:smallCaps/>
      <w:color w:val="E36F1E"/>
      <w:spacing w:val="20"/>
      <w:sz w:val="24"/>
      <w:szCs w:val="26"/>
    </w:rPr>
  </w:style>
  <w:style w:type="paragraph" w:customStyle="1" w:styleId="Style1">
    <w:name w:val="Style1"/>
    <w:basedOn w:val="Heading2New"/>
    <w:link w:val="Style1Char"/>
    <w:qFormat/>
    <w:rsid w:val="00164174"/>
  </w:style>
  <w:style w:type="character" w:customStyle="1" w:styleId="Heading2NewChar">
    <w:name w:val="Heading 2 New Char"/>
    <w:basedOn w:val="DefaultParagraphFont"/>
    <w:link w:val="Heading2New"/>
    <w:rsid w:val="00164174"/>
    <w:rPr>
      <w:rFonts w:ascii="Gill Sans MT" w:eastAsia="Times New Roman" w:hAnsi="Gill Sans MT" w:cs="Times New Roman"/>
      <w:bCs/>
      <w:smallCaps/>
      <w:color w:val="E36F1E"/>
      <w:spacing w:val="20"/>
      <w:sz w:val="24"/>
      <w:szCs w:val="26"/>
    </w:rPr>
  </w:style>
  <w:style w:type="character" w:customStyle="1" w:styleId="apple-converted-space">
    <w:name w:val="apple-converted-space"/>
    <w:basedOn w:val="DefaultParagraphFont"/>
    <w:rsid w:val="008948ED"/>
  </w:style>
  <w:style w:type="character" w:customStyle="1" w:styleId="Style1Char">
    <w:name w:val="Style1 Char"/>
    <w:basedOn w:val="Heading2NewChar"/>
    <w:link w:val="Style1"/>
    <w:rsid w:val="00164174"/>
    <w:rPr>
      <w:rFonts w:ascii="Gill Sans MT" w:eastAsia="Times New Roman" w:hAnsi="Gill Sans MT" w:cs="Times New Roman"/>
      <w:bCs/>
      <w:smallCaps/>
      <w:color w:val="E36F1E"/>
      <w:spacing w:val="20"/>
      <w:sz w:val="24"/>
      <w:szCs w:val="26"/>
    </w:rPr>
  </w:style>
  <w:style w:type="character" w:customStyle="1" w:styleId="file">
    <w:name w:val="file"/>
    <w:basedOn w:val="DefaultParagraphFont"/>
    <w:rsid w:val="008948ED"/>
  </w:style>
  <w:style w:type="character" w:customStyle="1" w:styleId="journalname">
    <w:name w:val="journalname"/>
    <w:basedOn w:val="DefaultParagraphFont"/>
    <w:rsid w:val="008948ED"/>
  </w:style>
  <w:style w:type="character" w:customStyle="1" w:styleId="year">
    <w:name w:val="year"/>
    <w:basedOn w:val="DefaultParagraphFont"/>
    <w:rsid w:val="008948ED"/>
  </w:style>
  <w:style w:type="character" w:customStyle="1" w:styleId="page">
    <w:name w:val="page"/>
    <w:basedOn w:val="DefaultParagraphFont"/>
    <w:rsid w:val="008948ED"/>
  </w:style>
  <w:style w:type="character" w:styleId="FollowedHyperlink">
    <w:name w:val="FollowedHyperlink"/>
    <w:basedOn w:val="DefaultParagraphFont"/>
    <w:uiPriority w:val="99"/>
    <w:semiHidden/>
    <w:unhideWhenUsed/>
    <w:rsid w:val="008948ED"/>
    <w:rPr>
      <w:color w:val="800080" w:themeColor="followedHyperlink"/>
      <w:u w:val="single"/>
    </w:rPr>
  </w:style>
  <w:style w:type="paragraph" w:styleId="Header">
    <w:name w:val="header"/>
    <w:basedOn w:val="Normal"/>
    <w:link w:val="HeaderChar"/>
    <w:uiPriority w:val="99"/>
    <w:unhideWhenUsed/>
    <w:rsid w:val="00EC5EB7"/>
    <w:pPr>
      <w:tabs>
        <w:tab w:val="center" w:pos="4680"/>
        <w:tab w:val="right" w:pos="9360"/>
      </w:tabs>
    </w:pPr>
  </w:style>
  <w:style w:type="character" w:customStyle="1" w:styleId="HeaderChar">
    <w:name w:val="Header Char"/>
    <w:basedOn w:val="DefaultParagraphFont"/>
    <w:link w:val="Header"/>
    <w:uiPriority w:val="99"/>
    <w:rsid w:val="00EC5EB7"/>
  </w:style>
  <w:style w:type="paragraph" w:styleId="Footer">
    <w:name w:val="footer"/>
    <w:basedOn w:val="Normal"/>
    <w:link w:val="FooterChar"/>
    <w:uiPriority w:val="99"/>
    <w:unhideWhenUsed/>
    <w:rsid w:val="00EC5EB7"/>
    <w:pPr>
      <w:tabs>
        <w:tab w:val="center" w:pos="4680"/>
        <w:tab w:val="right" w:pos="9360"/>
      </w:tabs>
    </w:pPr>
  </w:style>
  <w:style w:type="character" w:customStyle="1" w:styleId="FooterChar">
    <w:name w:val="Footer Char"/>
    <w:basedOn w:val="DefaultParagraphFont"/>
    <w:link w:val="Footer"/>
    <w:uiPriority w:val="99"/>
    <w:rsid w:val="00EC5EB7"/>
  </w:style>
  <w:style w:type="character" w:styleId="CommentReference">
    <w:name w:val="annotation reference"/>
    <w:basedOn w:val="DefaultParagraphFont"/>
    <w:uiPriority w:val="99"/>
    <w:semiHidden/>
    <w:unhideWhenUsed/>
    <w:rsid w:val="00AB7B44"/>
    <w:rPr>
      <w:sz w:val="16"/>
      <w:szCs w:val="16"/>
    </w:rPr>
  </w:style>
  <w:style w:type="paragraph" w:styleId="CommentText">
    <w:name w:val="annotation text"/>
    <w:basedOn w:val="Normal"/>
    <w:link w:val="CommentTextChar"/>
    <w:uiPriority w:val="99"/>
    <w:unhideWhenUsed/>
    <w:rsid w:val="00AB7B44"/>
    <w:rPr>
      <w:sz w:val="20"/>
      <w:szCs w:val="20"/>
    </w:rPr>
  </w:style>
  <w:style w:type="character" w:customStyle="1" w:styleId="CommentTextChar">
    <w:name w:val="Comment Text Char"/>
    <w:basedOn w:val="DefaultParagraphFont"/>
    <w:link w:val="CommentText"/>
    <w:uiPriority w:val="99"/>
    <w:rsid w:val="00AB7B44"/>
    <w:rPr>
      <w:sz w:val="20"/>
      <w:szCs w:val="20"/>
    </w:rPr>
  </w:style>
  <w:style w:type="paragraph" w:styleId="CommentSubject">
    <w:name w:val="annotation subject"/>
    <w:basedOn w:val="CommentText"/>
    <w:next w:val="CommentText"/>
    <w:link w:val="CommentSubjectChar"/>
    <w:uiPriority w:val="99"/>
    <w:semiHidden/>
    <w:unhideWhenUsed/>
    <w:rsid w:val="00AB7B44"/>
    <w:rPr>
      <w:b/>
      <w:bCs/>
    </w:rPr>
  </w:style>
  <w:style w:type="character" w:customStyle="1" w:styleId="CommentSubjectChar">
    <w:name w:val="Comment Subject Char"/>
    <w:basedOn w:val="CommentTextChar"/>
    <w:link w:val="CommentSubject"/>
    <w:uiPriority w:val="99"/>
    <w:semiHidden/>
    <w:rsid w:val="00AB7B44"/>
    <w:rPr>
      <w:b/>
      <w:bCs/>
      <w:sz w:val="20"/>
      <w:szCs w:val="20"/>
    </w:rPr>
  </w:style>
  <w:style w:type="paragraph" w:styleId="BalloonText">
    <w:name w:val="Balloon Text"/>
    <w:basedOn w:val="Normal"/>
    <w:link w:val="BalloonTextChar"/>
    <w:uiPriority w:val="99"/>
    <w:semiHidden/>
    <w:unhideWhenUsed/>
    <w:rsid w:val="00AB7B44"/>
    <w:rPr>
      <w:rFonts w:ascii="Tahoma" w:hAnsi="Tahoma" w:cs="Tahoma"/>
      <w:sz w:val="16"/>
      <w:szCs w:val="16"/>
    </w:rPr>
  </w:style>
  <w:style w:type="character" w:customStyle="1" w:styleId="BalloonTextChar">
    <w:name w:val="Balloon Text Char"/>
    <w:basedOn w:val="DefaultParagraphFont"/>
    <w:link w:val="BalloonText"/>
    <w:uiPriority w:val="99"/>
    <w:semiHidden/>
    <w:rsid w:val="00AB7B44"/>
    <w:rPr>
      <w:rFonts w:ascii="Tahoma" w:hAnsi="Tahoma" w:cs="Tahoma"/>
      <w:sz w:val="16"/>
      <w:szCs w:val="16"/>
    </w:rPr>
  </w:style>
  <w:style w:type="character" w:customStyle="1" w:styleId="Heading2Char">
    <w:name w:val="Heading 2 Char"/>
    <w:basedOn w:val="DefaultParagraphFont"/>
    <w:link w:val="Heading2"/>
    <w:uiPriority w:val="9"/>
    <w:rsid w:val="001E1A41"/>
    <w:rPr>
      <w:rFonts w:ascii="Gill Sans MT" w:eastAsiaTheme="majorEastAsia" w:hAnsi="Gill Sans MT" w:cstheme="majorBidi"/>
      <w:bCs/>
      <w:color w:val="1F497D" w:themeColor="text2"/>
      <w:sz w:val="24"/>
      <w:szCs w:val="26"/>
    </w:rPr>
  </w:style>
  <w:style w:type="character" w:customStyle="1" w:styleId="Heading3Char">
    <w:name w:val="Heading 3 Char"/>
    <w:basedOn w:val="DefaultParagraphFont"/>
    <w:link w:val="Heading3"/>
    <w:uiPriority w:val="9"/>
    <w:semiHidden/>
    <w:rsid w:val="0092538B"/>
    <w:rPr>
      <w:rFonts w:asciiTheme="majorHAnsi" w:eastAsiaTheme="majorEastAsia" w:hAnsiTheme="majorHAnsi" w:cstheme="majorBidi"/>
      <w:b/>
      <w:bCs/>
      <w:color w:val="4F81BD" w:themeColor="accent1"/>
    </w:rPr>
  </w:style>
  <w:style w:type="paragraph" w:styleId="Revision">
    <w:name w:val="Revision"/>
    <w:hidden/>
    <w:uiPriority w:val="99"/>
    <w:semiHidden/>
    <w:rsid w:val="0092538B"/>
    <w:pPr>
      <w:spacing w:after="0" w:line="240" w:lineRule="auto"/>
    </w:pPr>
  </w:style>
  <w:style w:type="paragraph" w:styleId="EndnoteText">
    <w:name w:val="endnote text"/>
    <w:basedOn w:val="Normal"/>
    <w:link w:val="EndnoteTextChar"/>
    <w:uiPriority w:val="99"/>
    <w:unhideWhenUsed/>
    <w:rsid w:val="00A87E84"/>
    <w:rPr>
      <w:sz w:val="20"/>
      <w:szCs w:val="20"/>
    </w:rPr>
  </w:style>
  <w:style w:type="character" w:customStyle="1" w:styleId="EndnoteTextChar">
    <w:name w:val="Endnote Text Char"/>
    <w:basedOn w:val="DefaultParagraphFont"/>
    <w:link w:val="EndnoteText"/>
    <w:uiPriority w:val="99"/>
    <w:rsid w:val="00A87E84"/>
    <w:rPr>
      <w:sz w:val="20"/>
      <w:szCs w:val="20"/>
    </w:rPr>
  </w:style>
  <w:style w:type="character" w:styleId="EndnoteReference">
    <w:name w:val="endnote reference"/>
    <w:basedOn w:val="DefaultParagraphFont"/>
    <w:uiPriority w:val="99"/>
    <w:semiHidden/>
    <w:unhideWhenUsed/>
    <w:rsid w:val="00A87E84"/>
    <w:rPr>
      <w:vertAlign w:val="superscript"/>
    </w:rPr>
  </w:style>
  <w:style w:type="paragraph" w:styleId="Caption">
    <w:name w:val="caption"/>
    <w:basedOn w:val="Normal"/>
    <w:next w:val="Normal"/>
    <w:uiPriority w:val="35"/>
    <w:unhideWhenUsed/>
    <w:qFormat/>
    <w:rsid w:val="001F520A"/>
    <w:rPr>
      <w:b/>
      <w:bCs/>
      <w:color w:val="4F81BD" w:themeColor="accent1"/>
      <w:sz w:val="18"/>
      <w:szCs w:val="18"/>
    </w:rPr>
  </w:style>
  <w:style w:type="table" w:styleId="LightList-Accent3">
    <w:name w:val="Light List Accent 3"/>
    <w:basedOn w:val="TableNormal"/>
    <w:uiPriority w:val="61"/>
    <w:rsid w:val="00461889"/>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FNRefeCharCharChar">
    <w:name w:val="FNRefe Char Char Char"/>
    <w:aliases w:val="BVI fnr Char Char Char Char,BVI fnr Car Car Char Char Char Char,BVI fnr Car Char Char Char Char,BVI fnr Car Car Car Car Char Char Char Char Char Char,Ref Char"/>
    <w:basedOn w:val="Normal"/>
    <w:link w:val="FootnoteReference"/>
    <w:uiPriority w:val="99"/>
    <w:rsid w:val="00C72A04"/>
    <w:pPr>
      <w:spacing w:after="160" w:line="240" w:lineRule="exact"/>
    </w:pPr>
    <w:rPr>
      <w:vertAlign w:val="superscript"/>
    </w:rPr>
  </w:style>
  <w:style w:type="character" w:customStyle="1" w:styleId="Heading1Char">
    <w:name w:val="Heading 1 Char"/>
    <w:basedOn w:val="DefaultParagraphFont"/>
    <w:link w:val="Heading1"/>
    <w:uiPriority w:val="9"/>
    <w:rsid w:val="005A6EE4"/>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semiHidden/>
    <w:unhideWhenUsed/>
    <w:rsid w:val="00E06099"/>
    <w:pPr>
      <w:spacing w:before="100" w:beforeAutospacing="1" w:after="100" w:afterAutospacing="1"/>
    </w:pPr>
    <w:rPr>
      <w:rFonts w:ascii="Times New Roman" w:eastAsia="Times New Roman" w:hAnsi="Times New Roman" w:cs="Times New Roman"/>
      <w:sz w:val="24"/>
      <w:szCs w:val="24"/>
    </w:rPr>
  </w:style>
  <w:style w:type="table" w:customStyle="1" w:styleId="LightGrid1">
    <w:name w:val="Light Grid1"/>
    <w:basedOn w:val="TableNormal"/>
    <w:next w:val="LightGrid"/>
    <w:uiPriority w:val="62"/>
    <w:rsid w:val="00A43689"/>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
    <w:name w:val="Light Grid"/>
    <w:basedOn w:val="TableNormal"/>
    <w:uiPriority w:val="62"/>
    <w:rsid w:val="00A4368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Default">
    <w:name w:val="Default"/>
    <w:rsid w:val="00354E80"/>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68715E"/>
    <w:rPr>
      <w:i/>
      <w:iCs/>
    </w:rPr>
  </w:style>
  <w:style w:type="character" w:styleId="Strong">
    <w:name w:val="Strong"/>
    <w:basedOn w:val="DefaultParagraphFont"/>
    <w:uiPriority w:val="22"/>
    <w:qFormat/>
    <w:rsid w:val="003F588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5045977">
      <w:bodyDiv w:val="1"/>
      <w:marLeft w:val="0"/>
      <w:marRight w:val="0"/>
      <w:marTop w:val="0"/>
      <w:marBottom w:val="0"/>
      <w:divBdr>
        <w:top w:val="none" w:sz="0" w:space="0" w:color="auto"/>
        <w:left w:val="none" w:sz="0" w:space="0" w:color="auto"/>
        <w:bottom w:val="none" w:sz="0" w:space="0" w:color="auto"/>
        <w:right w:val="none" w:sz="0" w:space="0" w:color="auto"/>
      </w:divBdr>
      <w:divsChild>
        <w:div w:id="956452089">
          <w:marLeft w:val="0"/>
          <w:marRight w:val="0"/>
          <w:marTop w:val="0"/>
          <w:marBottom w:val="0"/>
          <w:divBdr>
            <w:top w:val="none" w:sz="0" w:space="0" w:color="auto"/>
            <w:left w:val="none" w:sz="0" w:space="0" w:color="auto"/>
            <w:bottom w:val="none" w:sz="0" w:space="0" w:color="auto"/>
            <w:right w:val="none" w:sz="0" w:space="0" w:color="auto"/>
          </w:divBdr>
          <w:divsChild>
            <w:div w:id="208609010">
              <w:marLeft w:val="0"/>
              <w:marRight w:val="0"/>
              <w:marTop w:val="0"/>
              <w:marBottom w:val="0"/>
              <w:divBdr>
                <w:top w:val="none" w:sz="0" w:space="0" w:color="auto"/>
                <w:left w:val="none" w:sz="0" w:space="0" w:color="auto"/>
                <w:bottom w:val="none" w:sz="0" w:space="0" w:color="auto"/>
                <w:right w:val="none" w:sz="0" w:space="0" w:color="auto"/>
              </w:divBdr>
              <w:divsChild>
                <w:div w:id="1425564693">
                  <w:marLeft w:val="0"/>
                  <w:marRight w:val="0"/>
                  <w:marTop w:val="0"/>
                  <w:marBottom w:val="0"/>
                  <w:divBdr>
                    <w:top w:val="none" w:sz="0" w:space="0" w:color="auto"/>
                    <w:left w:val="none" w:sz="0" w:space="0" w:color="auto"/>
                    <w:bottom w:val="none" w:sz="0" w:space="0" w:color="auto"/>
                    <w:right w:val="none" w:sz="0" w:space="0" w:color="auto"/>
                  </w:divBdr>
                  <w:divsChild>
                    <w:div w:id="2104565678">
                      <w:marLeft w:val="0"/>
                      <w:marRight w:val="0"/>
                      <w:marTop w:val="0"/>
                      <w:marBottom w:val="0"/>
                      <w:divBdr>
                        <w:top w:val="none" w:sz="0" w:space="0" w:color="auto"/>
                        <w:left w:val="none" w:sz="0" w:space="0" w:color="auto"/>
                        <w:bottom w:val="none" w:sz="0" w:space="0" w:color="auto"/>
                        <w:right w:val="none" w:sz="0" w:space="0" w:color="auto"/>
                      </w:divBdr>
                      <w:divsChild>
                        <w:div w:id="1939293080">
                          <w:marLeft w:val="0"/>
                          <w:marRight w:val="0"/>
                          <w:marTop w:val="0"/>
                          <w:marBottom w:val="0"/>
                          <w:divBdr>
                            <w:top w:val="none" w:sz="0" w:space="0" w:color="auto"/>
                            <w:left w:val="none" w:sz="0" w:space="0" w:color="auto"/>
                            <w:bottom w:val="none" w:sz="0" w:space="0" w:color="auto"/>
                            <w:right w:val="none" w:sz="0" w:space="0" w:color="auto"/>
                          </w:divBdr>
                        </w:div>
                        <w:div w:id="824316100">
                          <w:marLeft w:val="0"/>
                          <w:marRight w:val="0"/>
                          <w:marTop w:val="0"/>
                          <w:marBottom w:val="0"/>
                          <w:divBdr>
                            <w:top w:val="none" w:sz="0" w:space="0" w:color="auto"/>
                            <w:left w:val="none" w:sz="0" w:space="0" w:color="auto"/>
                            <w:bottom w:val="none" w:sz="0" w:space="0" w:color="auto"/>
                            <w:right w:val="none" w:sz="0" w:space="0" w:color="auto"/>
                          </w:divBdr>
                        </w:div>
                        <w:div w:id="1188904807">
                          <w:marLeft w:val="0"/>
                          <w:marRight w:val="0"/>
                          <w:marTop w:val="0"/>
                          <w:marBottom w:val="0"/>
                          <w:divBdr>
                            <w:top w:val="none" w:sz="0" w:space="0" w:color="auto"/>
                            <w:left w:val="none" w:sz="0" w:space="0" w:color="auto"/>
                            <w:bottom w:val="none" w:sz="0" w:space="0" w:color="auto"/>
                            <w:right w:val="none" w:sz="0" w:space="0" w:color="auto"/>
                          </w:divBdr>
                          <w:divsChild>
                            <w:div w:id="985163254">
                              <w:marLeft w:val="0"/>
                              <w:marRight w:val="0"/>
                              <w:marTop w:val="0"/>
                              <w:marBottom w:val="0"/>
                              <w:divBdr>
                                <w:top w:val="none" w:sz="0" w:space="0" w:color="auto"/>
                                <w:left w:val="none" w:sz="0" w:space="0" w:color="auto"/>
                                <w:bottom w:val="none" w:sz="0" w:space="0" w:color="auto"/>
                                <w:right w:val="none" w:sz="0" w:space="0" w:color="auto"/>
                              </w:divBdr>
                            </w:div>
                            <w:div w:id="81298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5849037">
      <w:bodyDiv w:val="1"/>
      <w:marLeft w:val="0"/>
      <w:marRight w:val="0"/>
      <w:marTop w:val="0"/>
      <w:marBottom w:val="0"/>
      <w:divBdr>
        <w:top w:val="none" w:sz="0" w:space="0" w:color="auto"/>
        <w:left w:val="none" w:sz="0" w:space="0" w:color="auto"/>
        <w:bottom w:val="none" w:sz="0" w:space="0" w:color="auto"/>
        <w:right w:val="none" w:sz="0" w:space="0" w:color="auto"/>
      </w:divBdr>
    </w:div>
    <w:div w:id="1154569712">
      <w:bodyDiv w:val="1"/>
      <w:marLeft w:val="0"/>
      <w:marRight w:val="0"/>
      <w:marTop w:val="0"/>
      <w:marBottom w:val="0"/>
      <w:divBdr>
        <w:top w:val="none" w:sz="0" w:space="0" w:color="auto"/>
        <w:left w:val="none" w:sz="0" w:space="0" w:color="auto"/>
        <w:bottom w:val="none" w:sz="0" w:space="0" w:color="auto"/>
        <w:right w:val="none" w:sz="0" w:space="0" w:color="auto"/>
      </w:divBdr>
    </w:div>
    <w:div w:id="1370300462">
      <w:bodyDiv w:val="1"/>
      <w:marLeft w:val="0"/>
      <w:marRight w:val="0"/>
      <w:marTop w:val="0"/>
      <w:marBottom w:val="0"/>
      <w:divBdr>
        <w:top w:val="none" w:sz="0" w:space="0" w:color="auto"/>
        <w:left w:val="none" w:sz="0" w:space="0" w:color="auto"/>
        <w:bottom w:val="none" w:sz="0" w:space="0" w:color="auto"/>
        <w:right w:val="none" w:sz="0" w:space="0" w:color="auto"/>
      </w:divBdr>
    </w:div>
    <w:div w:id="1430154447">
      <w:bodyDiv w:val="1"/>
      <w:marLeft w:val="0"/>
      <w:marRight w:val="0"/>
      <w:marTop w:val="0"/>
      <w:marBottom w:val="0"/>
      <w:divBdr>
        <w:top w:val="none" w:sz="0" w:space="0" w:color="auto"/>
        <w:left w:val="none" w:sz="0" w:space="0" w:color="auto"/>
        <w:bottom w:val="none" w:sz="0" w:space="0" w:color="auto"/>
        <w:right w:val="none" w:sz="0" w:space="0" w:color="auto"/>
      </w:divBdr>
    </w:div>
    <w:div w:id="1438018641">
      <w:bodyDiv w:val="1"/>
      <w:marLeft w:val="0"/>
      <w:marRight w:val="0"/>
      <w:marTop w:val="0"/>
      <w:marBottom w:val="0"/>
      <w:divBdr>
        <w:top w:val="none" w:sz="0" w:space="0" w:color="auto"/>
        <w:left w:val="none" w:sz="0" w:space="0" w:color="auto"/>
        <w:bottom w:val="none" w:sz="0" w:space="0" w:color="auto"/>
        <w:right w:val="none" w:sz="0" w:space="0" w:color="auto"/>
      </w:divBdr>
      <w:divsChild>
        <w:div w:id="1135217176">
          <w:marLeft w:val="0"/>
          <w:marRight w:val="0"/>
          <w:marTop w:val="0"/>
          <w:marBottom w:val="0"/>
          <w:divBdr>
            <w:top w:val="none" w:sz="0" w:space="0" w:color="auto"/>
            <w:left w:val="none" w:sz="0" w:space="0" w:color="auto"/>
            <w:bottom w:val="none" w:sz="0" w:space="0" w:color="auto"/>
            <w:right w:val="none" w:sz="0" w:space="0" w:color="auto"/>
          </w:divBdr>
          <w:divsChild>
            <w:div w:id="91038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657791">
      <w:bodyDiv w:val="1"/>
      <w:marLeft w:val="0"/>
      <w:marRight w:val="0"/>
      <w:marTop w:val="0"/>
      <w:marBottom w:val="0"/>
      <w:divBdr>
        <w:top w:val="none" w:sz="0" w:space="0" w:color="auto"/>
        <w:left w:val="none" w:sz="0" w:space="0" w:color="auto"/>
        <w:bottom w:val="none" w:sz="0" w:space="0" w:color="auto"/>
        <w:right w:val="none" w:sz="0" w:space="0" w:color="auto"/>
      </w:divBdr>
      <w:divsChild>
        <w:div w:id="2018538773">
          <w:marLeft w:val="0"/>
          <w:marRight w:val="0"/>
          <w:marTop w:val="0"/>
          <w:marBottom w:val="0"/>
          <w:divBdr>
            <w:top w:val="none" w:sz="0" w:space="0" w:color="auto"/>
            <w:left w:val="none" w:sz="0" w:space="0" w:color="auto"/>
            <w:bottom w:val="none" w:sz="0" w:space="0" w:color="auto"/>
            <w:right w:val="none" w:sz="0" w:space="0" w:color="auto"/>
          </w:divBdr>
          <w:divsChild>
            <w:div w:id="95109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460441">
      <w:bodyDiv w:val="1"/>
      <w:marLeft w:val="0"/>
      <w:marRight w:val="0"/>
      <w:marTop w:val="0"/>
      <w:marBottom w:val="0"/>
      <w:divBdr>
        <w:top w:val="none" w:sz="0" w:space="0" w:color="auto"/>
        <w:left w:val="none" w:sz="0" w:space="0" w:color="auto"/>
        <w:bottom w:val="none" w:sz="0" w:space="0" w:color="auto"/>
        <w:right w:val="none" w:sz="0" w:space="0" w:color="auto"/>
      </w:divBdr>
    </w:div>
    <w:div w:id="1964144940">
      <w:bodyDiv w:val="1"/>
      <w:marLeft w:val="0"/>
      <w:marRight w:val="0"/>
      <w:marTop w:val="0"/>
      <w:marBottom w:val="0"/>
      <w:divBdr>
        <w:top w:val="none" w:sz="0" w:space="0" w:color="auto"/>
        <w:left w:val="none" w:sz="0" w:space="0" w:color="auto"/>
        <w:bottom w:val="none" w:sz="0" w:space="0" w:color="auto"/>
        <w:right w:val="none" w:sz="0" w:space="0" w:color="auto"/>
      </w:divBdr>
    </w:div>
    <w:div w:id="1992978374">
      <w:bodyDiv w:val="1"/>
      <w:marLeft w:val="0"/>
      <w:marRight w:val="0"/>
      <w:marTop w:val="0"/>
      <w:marBottom w:val="0"/>
      <w:divBdr>
        <w:top w:val="none" w:sz="0" w:space="0" w:color="auto"/>
        <w:left w:val="none" w:sz="0" w:space="0" w:color="auto"/>
        <w:bottom w:val="none" w:sz="0" w:space="0" w:color="auto"/>
        <w:right w:val="none" w:sz="0" w:space="0" w:color="auto"/>
      </w:divBdr>
    </w:div>
    <w:div w:id="2073698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hyperlink" Target="http://www.msh.org" TargetMode="External"/><Relationship Id="rId3" Type="http://schemas.openxmlformats.org/officeDocument/2006/relationships/styles" Target="styles.xml"/><Relationship Id="rId21" Type="http://schemas.openxmlformats.org/officeDocument/2006/relationships/hyperlink" Target="mailto:jpfaffmann@unicef.org" TargetMode="Externa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hyperlink" Target="mailto:dcollins@msh.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unicef.or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cgilmartin\Google%20Drive\Malawi-Sierra%20Leone%20CHW\Tech%20Brief\CHSCMT%20Master%20Updated_Dedza_8.19.2016_v5_TECH%20BRIEF.xlsm"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gilmartin\Google%20Drive\Malawi-Sierra%20Leone%20CHW\Tech%20Brief\CHSCMT%20Master%20Updated_Dedza_8.19.2016_v5_TECH%20BRIEF.xlsm"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cgilmartin\Google%20Drive\Malawi-Sierra%20Leone%20CHW\Tech%20Brief\Sierra%20Leone_Bombali%20District_6Sept2016_TECHNICAL%20BRIEF%20GRAPHICS.xlsm"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cgilmartin\Google%20Drive\Malawi-Sierra%20Leone%20CHW\Tech%20Brief\Sierra%20Leone_Bombali%20District_6Sept2016_TECHNICAL%20BRIEF%20GRAPHICS.xlsm"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Program_Data!$D$40</c:f>
              <c:strCache>
                <c:ptCount val="1"/>
                <c:pt idx="0">
                  <c:v>Reproductive Health / Family Planning</c:v>
                </c:pt>
              </c:strCache>
            </c:strRef>
          </c:tx>
          <c:spPr>
            <a:solidFill>
              <a:schemeClr val="accent1"/>
            </a:solidFill>
            <a:ln>
              <a:noFill/>
            </a:ln>
            <a:effectLst/>
          </c:spPr>
          <c:invertIfNegative val="0"/>
          <c:cat>
            <c:numRef>
              <c:f>'Results-Tables'!$C$5:$M$5</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Summary_Program!$C$13:$M$13</c:f>
              <c:numCache>
                <c:formatCode>_(* #,##0_);_(* \(#,##0\);_(* "-"??_);_(@_)</c:formatCode>
                <c:ptCount val="11"/>
                <c:pt idx="0">
                  <c:v>97910</c:v>
                </c:pt>
                <c:pt idx="1">
                  <c:v>143803.31121060805</c:v>
                </c:pt>
                <c:pt idx="2">
                  <c:v>192416.08512957505</c:v>
                </c:pt>
                <c:pt idx="3">
                  <c:v>243872.67968117326</c:v>
                </c:pt>
                <c:pt idx="4">
                  <c:v>298303.05278967519</c:v>
                </c:pt>
                <c:pt idx="5">
                  <c:v>355838.91908494465</c:v>
                </c:pt>
                <c:pt idx="6">
                  <c:v>416622.74411793472</c:v>
                </c:pt>
                <c:pt idx="7">
                  <c:v>480794.8205595563</c:v>
                </c:pt>
                <c:pt idx="8">
                  <c:v>548508.61396076262</c:v>
                </c:pt>
                <c:pt idx="9">
                  <c:v>619920.73224582605</c:v>
                </c:pt>
                <c:pt idx="10">
                  <c:v>695196.01900674647</c:v>
                </c:pt>
              </c:numCache>
            </c:numRef>
          </c:val>
          <c:extLst xmlns:c16r2="http://schemas.microsoft.com/office/drawing/2015/06/chart">
            <c:ext xmlns:c16="http://schemas.microsoft.com/office/drawing/2014/chart" uri="{C3380CC4-5D6E-409C-BE32-E72D297353CC}">
              <c16:uniqueId val="{00000000-74D4-4234-AB7E-F9324E03CC62}"/>
            </c:ext>
          </c:extLst>
        </c:ser>
        <c:ser>
          <c:idx val="1"/>
          <c:order val="1"/>
          <c:tx>
            <c:strRef>
              <c:f>Program_Data!$D$41</c:f>
              <c:strCache>
                <c:ptCount val="1"/>
                <c:pt idx="0">
                  <c:v>Maternal, Newborn and Child Health</c:v>
                </c:pt>
              </c:strCache>
            </c:strRef>
          </c:tx>
          <c:spPr>
            <a:solidFill>
              <a:schemeClr val="accent2"/>
            </a:solidFill>
            <a:ln>
              <a:noFill/>
            </a:ln>
            <a:effectLst/>
          </c:spPr>
          <c:invertIfNegative val="0"/>
          <c:cat>
            <c:numRef>
              <c:f>'Results-Tables'!$C$5:$M$5</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Summary_Program!$C$14:$M$14</c:f>
              <c:numCache>
                <c:formatCode>_(* #,##0_);_(* \(#,##0\);_(* "-"??_);_(@_)</c:formatCode>
                <c:ptCount val="11"/>
                <c:pt idx="0">
                  <c:v>41085</c:v>
                </c:pt>
                <c:pt idx="1">
                  <c:v>48158.42433199926</c:v>
                </c:pt>
                <c:pt idx="2">
                  <c:v>54601.059681773426</c:v>
                </c:pt>
                <c:pt idx="3">
                  <c:v>61394.460395321468</c:v>
                </c:pt>
                <c:pt idx="4">
                  <c:v>68551.504666042223</c:v>
                </c:pt>
                <c:pt idx="5">
                  <c:v>76089.132493935685</c:v>
                </c:pt>
                <c:pt idx="6">
                  <c:v>84024.614847371326</c:v>
                </c:pt>
                <c:pt idx="7">
                  <c:v>92376.086726349182</c:v>
                </c:pt>
                <c:pt idx="8">
                  <c:v>101160.13710978218</c:v>
                </c:pt>
                <c:pt idx="9">
                  <c:v>110396.54298712686</c:v>
                </c:pt>
                <c:pt idx="10">
                  <c:v>117456.25</c:v>
                </c:pt>
              </c:numCache>
            </c:numRef>
          </c:val>
          <c:extLst xmlns:c16r2="http://schemas.microsoft.com/office/drawing/2015/06/chart">
            <c:ext xmlns:c16="http://schemas.microsoft.com/office/drawing/2014/chart" uri="{C3380CC4-5D6E-409C-BE32-E72D297353CC}">
              <c16:uniqueId val="{00000001-74D4-4234-AB7E-F9324E03CC62}"/>
            </c:ext>
          </c:extLst>
        </c:ser>
        <c:ser>
          <c:idx val="2"/>
          <c:order val="2"/>
          <c:tx>
            <c:strRef>
              <c:f>Program_Data!$D$42</c:f>
              <c:strCache>
                <c:ptCount val="1"/>
                <c:pt idx="0">
                  <c:v>iCCM</c:v>
                </c:pt>
              </c:strCache>
            </c:strRef>
          </c:tx>
          <c:spPr>
            <a:solidFill>
              <a:schemeClr val="accent3"/>
            </a:solidFill>
            <a:ln>
              <a:noFill/>
            </a:ln>
            <a:effectLst/>
          </c:spPr>
          <c:invertIfNegative val="0"/>
          <c:cat>
            <c:numRef>
              <c:f>'Results-Tables'!$C$5:$M$5</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Summary_Program!$C$15:$M$15</c:f>
              <c:numCache>
                <c:formatCode>_(* #,##0_);_(* \(#,##0\);_(* "-"??_);_(@_)</c:formatCode>
                <c:ptCount val="11"/>
                <c:pt idx="0">
                  <c:v>74554.080000000002</c:v>
                </c:pt>
                <c:pt idx="1">
                  <c:v>110954.6859028028</c:v>
                </c:pt>
                <c:pt idx="2">
                  <c:v>149515.97414511134</c:v>
                </c:pt>
                <c:pt idx="3">
                  <c:v>190335.13529973343</c:v>
                </c:pt>
                <c:pt idx="4">
                  <c:v>233517.51051228476</c:v>
                </c:pt>
                <c:pt idx="5">
                  <c:v>279163.26978276536</c:v>
                </c:pt>
                <c:pt idx="6">
                  <c:v>325906.95633378968</c:v>
                </c:pt>
                <c:pt idx="7">
                  <c:v>374723.72313567263</c:v>
                </c:pt>
                <c:pt idx="8">
                  <c:v>426227.19795566442</c:v>
                </c:pt>
                <c:pt idx="9">
                  <c:v>480532.6316026611</c:v>
                </c:pt>
                <c:pt idx="10">
                  <c:v>537767.8456944545</c:v>
                </c:pt>
              </c:numCache>
            </c:numRef>
          </c:val>
          <c:extLst xmlns:c16r2="http://schemas.microsoft.com/office/drawing/2015/06/chart">
            <c:ext xmlns:c16="http://schemas.microsoft.com/office/drawing/2014/chart" uri="{C3380CC4-5D6E-409C-BE32-E72D297353CC}">
              <c16:uniqueId val="{00000002-74D4-4234-AB7E-F9324E03CC62}"/>
            </c:ext>
          </c:extLst>
        </c:ser>
        <c:ser>
          <c:idx val="3"/>
          <c:order val="3"/>
          <c:tx>
            <c:strRef>
              <c:f>Program_Data!$D$43</c:f>
              <c:strCache>
                <c:ptCount val="1"/>
                <c:pt idx="0">
                  <c:v>Malaria (5 years +)</c:v>
                </c:pt>
              </c:strCache>
            </c:strRef>
          </c:tx>
          <c:spPr>
            <a:solidFill>
              <a:schemeClr val="accent4"/>
            </a:solidFill>
            <a:ln>
              <a:noFill/>
            </a:ln>
            <a:effectLst/>
          </c:spPr>
          <c:invertIfNegative val="0"/>
          <c:cat>
            <c:numRef>
              <c:f>'Results-Tables'!$C$5:$M$5</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Summary_Program!$C$16:$M$16</c:f>
              <c:numCache>
                <c:formatCode>_(* #,##0_);_(* \(#,##0\);_(* "-"??_);_(@_)</c:formatCode>
                <c:ptCount val="11"/>
                <c:pt idx="0">
                  <c:v>0</c:v>
                </c:pt>
                <c:pt idx="1">
                  <c:v>43.900000000000006</c:v>
                </c:pt>
                <c:pt idx="2">
                  <c:v>87.800000000000011</c:v>
                </c:pt>
                <c:pt idx="3">
                  <c:v>131.70000000000002</c:v>
                </c:pt>
                <c:pt idx="4">
                  <c:v>175.60000000000002</c:v>
                </c:pt>
                <c:pt idx="5">
                  <c:v>219.5</c:v>
                </c:pt>
                <c:pt idx="6">
                  <c:v>263.39999999999998</c:v>
                </c:pt>
                <c:pt idx="7">
                  <c:v>307.29999999999995</c:v>
                </c:pt>
                <c:pt idx="8">
                  <c:v>351.2</c:v>
                </c:pt>
                <c:pt idx="9">
                  <c:v>395.09999999999997</c:v>
                </c:pt>
                <c:pt idx="10">
                  <c:v>438.99999999999994</c:v>
                </c:pt>
              </c:numCache>
            </c:numRef>
          </c:val>
          <c:extLst xmlns:c16r2="http://schemas.microsoft.com/office/drawing/2015/06/chart">
            <c:ext xmlns:c16="http://schemas.microsoft.com/office/drawing/2014/chart" uri="{C3380CC4-5D6E-409C-BE32-E72D297353CC}">
              <c16:uniqueId val="{00000003-74D4-4234-AB7E-F9324E03CC62}"/>
            </c:ext>
          </c:extLst>
        </c:ser>
        <c:ser>
          <c:idx val="4"/>
          <c:order val="4"/>
          <c:tx>
            <c:strRef>
              <c:f>Program_Data!$D$44</c:f>
              <c:strCache>
                <c:ptCount val="1"/>
                <c:pt idx="0">
                  <c:v>TB</c:v>
                </c:pt>
              </c:strCache>
            </c:strRef>
          </c:tx>
          <c:spPr>
            <a:solidFill>
              <a:schemeClr val="accent5"/>
            </a:solidFill>
            <a:ln>
              <a:noFill/>
            </a:ln>
            <a:effectLst/>
          </c:spPr>
          <c:invertIfNegative val="0"/>
          <c:cat>
            <c:numRef>
              <c:f>'Results-Tables'!$C$5:$M$5</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Summary_Program!$C$17:$M$17</c:f>
              <c:numCache>
                <c:formatCode>_(* #,##0_);_(* \(#,##0\);_(* "-"??_);_(@_)</c:formatCode>
                <c:ptCount val="11"/>
                <c:pt idx="0">
                  <c:v>0</c:v>
                </c:pt>
                <c:pt idx="1">
                  <c:v>5765.7237500000001</c:v>
                </c:pt>
                <c:pt idx="2">
                  <c:v>11884.810000000001</c:v>
                </c:pt>
                <c:pt idx="3">
                  <c:v>18373.458750000002</c:v>
                </c:pt>
                <c:pt idx="4">
                  <c:v>25248.5</c:v>
                </c:pt>
                <c:pt idx="5">
                  <c:v>32527.606249999997</c:v>
                </c:pt>
                <c:pt idx="6">
                  <c:v>40229.317499999997</c:v>
                </c:pt>
                <c:pt idx="7">
                  <c:v>48372.239999999991</c:v>
                </c:pt>
                <c:pt idx="8">
                  <c:v>56976.239999999991</c:v>
                </c:pt>
                <c:pt idx="9">
                  <c:v>66062.429999999993</c:v>
                </c:pt>
                <c:pt idx="10">
                  <c:v>75651.474999999991</c:v>
                </c:pt>
              </c:numCache>
            </c:numRef>
          </c:val>
          <c:extLst xmlns:c16r2="http://schemas.microsoft.com/office/drawing/2015/06/chart">
            <c:ext xmlns:c16="http://schemas.microsoft.com/office/drawing/2014/chart" uri="{C3380CC4-5D6E-409C-BE32-E72D297353CC}">
              <c16:uniqueId val="{00000004-74D4-4234-AB7E-F9324E03CC62}"/>
            </c:ext>
          </c:extLst>
        </c:ser>
        <c:ser>
          <c:idx val="5"/>
          <c:order val="5"/>
          <c:tx>
            <c:strRef>
              <c:f>Program_Data!$D$45</c:f>
              <c:strCache>
                <c:ptCount val="1"/>
                <c:pt idx="0">
                  <c:v>HIV/AIDS</c:v>
                </c:pt>
              </c:strCache>
            </c:strRef>
          </c:tx>
          <c:spPr>
            <a:solidFill>
              <a:schemeClr val="accent6"/>
            </a:solidFill>
            <a:ln>
              <a:noFill/>
            </a:ln>
            <a:effectLst/>
          </c:spPr>
          <c:invertIfNegative val="0"/>
          <c:cat>
            <c:numRef>
              <c:f>'Results-Tables'!$C$5:$M$5</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Summary_Program!$C$18:$M$18</c:f>
              <c:numCache>
                <c:formatCode>_(* #,##0_);_(* \(#,##0\);_(* "-"??_);_(@_)</c:formatCode>
                <c:ptCount val="11"/>
                <c:pt idx="0">
                  <c:v>0</c:v>
                </c:pt>
                <c:pt idx="1">
                  <c:v>6589.4525000000003</c:v>
                </c:pt>
                <c:pt idx="2">
                  <c:v>13582.6625</c:v>
                </c:pt>
                <c:pt idx="3">
                  <c:v>20998.215</c:v>
                </c:pt>
                <c:pt idx="4">
                  <c:v>28855.52</c:v>
                </c:pt>
                <c:pt idx="5">
                  <c:v>37174.587500000001</c:v>
                </c:pt>
                <c:pt idx="6">
                  <c:v>45976.357499999998</c:v>
                </c:pt>
                <c:pt idx="7">
                  <c:v>55282.613749999997</c:v>
                </c:pt>
                <c:pt idx="8">
                  <c:v>65115.979999999996</c:v>
                </c:pt>
                <c:pt idx="9">
                  <c:v>75499.931249999994</c:v>
                </c:pt>
                <c:pt idx="10">
                  <c:v>86459.262499999983</c:v>
                </c:pt>
              </c:numCache>
            </c:numRef>
          </c:val>
          <c:extLst xmlns:c16r2="http://schemas.microsoft.com/office/drawing/2015/06/chart">
            <c:ext xmlns:c16="http://schemas.microsoft.com/office/drawing/2014/chart" uri="{C3380CC4-5D6E-409C-BE32-E72D297353CC}">
              <c16:uniqueId val="{00000005-74D4-4234-AB7E-F9324E03CC62}"/>
            </c:ext>
          </c:extLst>
        </c:ser>
        <c:ser>
          <c:idx val="6"/>
          <c:order val="6"/>
          <c:tx>
            <c:strRef>
              <c:f>Program_Data!$D$46</c:f>
              <c:strCache>
                <c:ptCount val="1"/>
                <c:pt idx="0">
                  <c:v>Nutrition</c:v>
                </c:pt>
              </c:strCache>
            </c:strRef>
          </c:tx>
          <c:spPr>
            <a:solidFill>
              <a:schemeClr val="accent1">
                <a:lumMod val="60000"/>
              </a:schemeClr>
            </a:solidFill>
            <a:ln>
              <a:noFill/>
            </a:ln>
            <a:effectLst/>
          </c:spPr>
          <c:invertIfNegative val="0"/>
          <c:cat>
            <c:numRef>
              <c:f>'Results-Tables'!$C$5:$M$5</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Summary_Program!$C$19:$M$19</c:f>
              <c:numCache>
                <c:formatCode>_(* #,##0_);_(* \(#,##0\);_(* "-"??_);_(@_)</c:formatCode>
                <c:ptCount val="11"/>
                <c:pt idx="0">
                  <c:v>0</c:v>
                </c:pt>
                <c:pt idx="1">
                  <c:v>561.00000000000011</c:v>
                </c:pt>
                <c:pt idx="2">
                  <c:v>1153.69</c:v>
                </c:pt>
                <c:pt idx="3">
                  <c:v>1779.5250000000003</c:v>
                </c:pt>
                <c:pt idx="4">
                  <c:v>2440.02</c:v>
                </c:pt>
                <c:pt idx="5">
                  <c:v>3136.7250000000004</c:v>
                </c:pt>
                <c:pt idx="6">
                  <c:v>3871.38</c:v>
                </c:pt>
                <c:pt idx="7">
                  <c:v>4645.55</c:v>
                </c:pt>
                <c:pt idx="8">
                  <c:v>5461.16</c:v>
                </c:pt>
                <c:pt idx="9">
                  <c:v>6319.8899999999994</c:v>
                </c:pt>
                <c:pt idx="10">
                  <c:v>7223.8499999999985</c:v>
                </c:pt>
              </c:numCache>
            </c:numRef>
          </c:val>
          <c:extLst xmlns:c16r2="http://schemas.microsoft.com/office/drawing/2015/06/chart">
            <c:ext xmlns:c16="http://schemas.microsoft.com/office/drawing/2014/chart" uri="{C3380CC4-5D6E-409C-BE32-E72D297353CC}">
              <c16:uniqueId val="{00000006-74D4-4234-AB7E-F9324E03CC62}"/>
            </c:ext>
          </c:extLst>
        </c:ser>
        <c:ser>
          <c:idx val="7"/>
          <c:order val="7"/>
          <c:tx>
            <c:strRef>
              <c:f>Program_Data!$D$47</c:f>
              <c:strCache>
                <c:ptCount val="1"/>
                <c:pt idx="0">
                  <c:v>Community Mobilization / BCC / Messaging</c:v>
                </c:pt>
              </c:strCache>
            </c:strRef>
          </c:tx>
          <c:spPr>
            <a:solidFill>
              <a:schemeClr val="accent2">
                <a:lumMod val="60000"/>
              </a:schemeClr>
            </a:solidFill>
            <a:ln>
              <a:noFill/>
            </a:ln>
            <a:effectLst/>
          </c:spPr>
          <c:invertIfNegative val="0"/>
          <c:cat>
            <c:numRef>
              <c:f>'Results-Tables'!$C$5:$M$5</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Summary_Program!$C$20:$M$20</c:f>
              <c:numCache>
                <c:formatCode>_(* #,##0_);_(* \(#,##0\);_(* "-"??_);_(@_)</c:formatCode>
                <c:ptCount val="11"/>
                <c:pt idx="0">
                  <c:v>0</c:v>
                </c:pt>
                <c:pt idx="1">
                  <c:v>43.900000000000006</c:v>
                </c:pt>
                <c:pt idx="2">
                  <c:v>87.800000000000011</c:v>
                </c:pt>
                <c:pt idx="3">
                  <c:v>131.70000000000002</c:v>
                </c:pt>
                <c:pt idx="4">
                  <c:v>175.60000000000002</c:v>
                </c:pt>
                <c:pt idx="5">
                  <c:v>219.5</c:v>
                </c:pt>
                <c:pt idx="6">
                  <c:v>263.39999999999998</c:v>
                </c:pt>
                <c:pt idx="7">
                  <c:v>307.29999999999995</c:v>
                </c:pt>
                <c:pt idx="8">
                  <c:v>351.2</c:v>
                </c:pt>
                <c:pt idx="9">
                  <c:v>395.09999999999997</c:v>
                </c:pt>
                <c:pt idx="10">
                  <c:v>438.99999999999994</c:v>
                </c:pt>
              </c:numCache>
            </c:numRef>
          </c:val>
          <c:extLst xmlns:c16r2="http://schemas.microsoft.com/office/drawing/2015/06/chart">
            <c:ext xmlns:c16="http://schemas.microsoft.com/office/drawing/2014/chart" uri="{C3380CC4-5D6E-409C-BE32-E72D297353CC}">
              <c16:uniqueId val="{00000007-74D4-4234-AB7E-F9324E03CC62}"/>
            </c:ext>
          </c:extLst>
        </c:ser>
        <c:ser>
          <c:idx val="8"/>
          <c:order val="8"/>
          <c:tx>
            <c:strRef>
              <c:f>Program_Data!$D$48</c:f>
              <c:strCache>
                <c:ptCount val="1"/>
                <c:pt idx="0">
                  <c:v>Immunization</c:v>
                </c:pt>
              </c:strCache>
            </c:strRef>
          </c:tx>
          <c:spPr>
            <a:solidFill>
              <a:schemeClr val="accent3">
                <a:lumMod val="60000"/>
              </a:schemeClr>
            </a:solidFill>
            <a:ln>
              <a:noFill/>
            </a:ln>
            <a:effectLst/>
          </c:spPr>
          <c:invertIfNegative val="0"/>
          <c:cat>
            <c:numRef>
              <c:f>'Results-Tables'!$C$5:$M$5</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Summary_Program!$C$21:$M$21</c:f>
              <c:numCache>
                <c:formatCode>_(* #,##0_);_(* \(#,##0\);_(* "-"??_);_(@_)</c:formatCode>
                <c:ptCount val="11"/>
                <c:pt idx="0">
                  <c:v>46508</c:v>
                </c:pt>
                <c:pt idx="1">
                  <c:v>61172.254080018749</c:v>
                </c:pt>
                <c:pt idx="2">
                  <c:v>76688.598342217811</c:v>
                </c:pt>
                <c:pt idx="3">
                  <c:v>92642.25</c:v>
                </c:pt>
                <c:pt idx="4">
                  <c:v>108037.20000000001</c:v>
                </c:pt>
                <c:pt idx="5">
                  <c:v>124288.25</c:v>
                </c:pt>
                <c:pt idx="6">
                  <c:v>141437.4</c:v>
                </c:pt>
                <c:pt idx="7">
                  <c:v>159506.6</c:v>
                </c:pt>
                <c:pt idx="8">
                  <c:v>178561.80000000002</c:v>
                </c:pt>
                <c:pt idx="9">
                  <c:v>198617.4</c:v>
                </c:pt>
                <c:pt idx="10">
                  <c:v>219746.5</c:v>
                </c:pt>
              </c:numCache>
            </c:numRef>
          </c:val>
          <c:extLst xmlns:c16r2="http://schemas.microsoft.com/office/drawing/2015/06/chart">
            <c:ext xmlns:c16="http://schemas.microsoft.com/office/drawing/2014/chart" uri="{C3380CC4-5D6E-409C-BE32-E72D297353CC}">
              <c16:uniqueId val="{00000008-74D4-4234-AB7E-F9324E03CC62}"/>
            </c:ext>
          </c:extLst>
        </c:ser>
        <c:dLbls>
          <c:showLegendKey val="0"/>
          <c:showVal val="0"/>
          <c:showCatName val="0"/>
          <c:showSerName val="0"/>
          <c:showPercent val="0"/>
          <c:showBubbleSize val="0"/>
        </c:dLbls>
        <c:gapWidth val="219"/>
        <c:overlap val="100"/>
        <c:axId val="34305536"/>
        <c:axId val="34307072"/>
      </c:barChart>
      <c:catAx>
        <c:axId val="34305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4307072"/>
        <c:crosses val="autoZero"/>
        <c:auto val="1"/>
        <c:lblAlgn val="ctr"/>
        <c:lblOffset val="100"/>
        <c:noMultiLvlLbl val="0"/>
      </c:catAx>
      <c:valAx>
        <c:axId val="34307072"/>
        <c:scaling>
          <c:orientation val="minMax"/>
        </c:scaling>
        <c:delete val="0"/>
        <c:axPos val="l"/>
        <c:majorGridlines/>
        <c:numFmt formatCode="_(* #,##0_);_(* \(#,##0\);_(* &quot;-&quot;??_);_(@_)" sourceLinked="1"/>
        <c:majorTickMark val="none"/>
        <c:minorTickMark val="none"/>
        <c:tickLblPos val="nextTo"/>
        <c:spPr>
          <a:noFill/>
          <a:ln>
            <a:noFill/>
          </a:ln>
          <a:effectLst/>
        </c:spPr>
        <c:txPr>
          <a:bodyPr rot="-60000000" vert="horz"/>
          <a:lstStyle/>
          <a:p>
            <a:pPr>
              <a:defRPr/>
            </a:pPr>
            <a:endParaRPr lang="en-US"/>
          </a:p>
        </c:txPr>
        <c:crossAx val="34305536"/>
        <c:crosses val="autoZero"/>
        <c:crossBetween val="between"/>
      </c:valAx>
      <c:spPr>
        <a:solidFill>
          <a:schemeClr val="bg1">
            <a:lumMod val="95000"/>
          </a:schemeClr>
        </a:solid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sz="1000">
          <a:solidFill>
            <a:schemeClr val="tx1"/>
          </a:solidFil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32465733449985"/>
          <c:y val="4.4989775051124746E-2"/>
          <c:w val="0.86221237970253717"/>
          <c:h val="0.67607877236204372"/>
        </c:manualLayout>
      </c:layout>
      <c:areaChart>
        <c:grouping val="stacked"/>
        <c:varyColors val="0"/>
        <c:ser>
          <c:idx val="0"/>
          <c:order val="0"/>
          <c:tx>
            <c:strRef>
              <c:f>'Results-Tables'!$B$40</c:f>
              <c:strCache>
                <c:ptCount val="1"/>
                <c:pt idx="0">
                  <c:v>CHW Salaries</c:v>
                </c:pt>
              </c:strCache>
            </c:strRef>
          </c:tx>
          <c:spPr>
            <a:solidFill>
              <a:schemeClr val="accent1"/>
            </a:solidFill>
            <a:ln>
              <a:noFill/>
            </a:ln>
            <a:effectLst/>
          </c:spPr>
          <c:cat>
            <c:numRef>
              <c:f>'Results-Tables'!$C$5:$M$5</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'Results-Tables'!$C$40:$M$40</c:f>
              <c:numCache>
                <c:formatCode>_(* #,##0_);_(* \(#,##0\);_(* "-"??_);_(@_)</c:formatCode>
                <c:ptCount val="11"/>
                <c:pt idx="0">
                  <c:v>587005.71428571432</c:v>
                </c:pt>
                <c:pt idx="1">
                  <c:v>587005.71428571432</c:v>
                </c:pt>
                <c:pt idx="2">
                  <c:v>587005.71428571432</c:v>
                </c:pt>
                <c:pt idx="3">
                  <c:v>587005.71428571432</c:v>
                </c:pt>
                <c:pt idx="4">
                  <c:v>587005.71428571432</c:v>
                </c:pt>
                <c:pt idx="5">
                  <c:v>587005.71428571432</c:v>
                </c:pt>
                <c:pt idx="6">
                  <c:v>587005.71428571432</c:v>
                </c:pt>
                <c:pt idx="7">
                  <c:v>587005.71428571432</c:v>
                </c:pt>
                <c:pt idx="8">
                  <c:v>587005.71428571432</c:v>
                </c:pt>
                <c:pt idx="9">
                  <c:v>587005.71428571432</c:v>
                </c:pt>
                <c:pt idx="10">
                  <c:v>587005.71428571432</c:v>
                </c:pt>
              </c:numCache>
            </c:numRef>
          </c:val>
          <c:extLst xmlns:c16r2="http://schemas.microsoft.com/office/drawing/2015/06/chart">
            <c:ext xmlns:c16="http://schemas.microsoft.com/office/drawing/2014/chart" uri="{C3380CC4-5D6E-409C-BE32-E72D297353CC}">
              <c16:uniqueId val="{00000000-197B-4D8D-877B-11877C697448}"/>
            </c:ext>
          </c:extLst>
        </c:ser>
        <c:ser>
          <c:idx val="1"/>
          <c:order val="1"/>
          <c:tx>
            <c:strRef>
              <c:f>'Results-Tables'!$B$41</c:f>
              <c:strCache>
                <c:ptCount val="1"/>
                <c:pt idx="0">
                  <c:v>Equipment</c:v>
                </c:pt>
              </c:strCache>
            </c:strRef>
          </c:tx>
          <c:spPr>
            <a:solidFill>
              <a:schemeClr val="accent2"/>
            </a:solidFill>
            <a:ln>
              <a:noFill/>
            </a:ln>
            <a:effectLst/>
          </c:spPr>
          <c:cat>
            <c:numRef>
              <c:f>'Results-Tables'!$C$5:$M$5</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'Results-Tables'!$C$41:$M$41</c:f>
              <c:numCache>
                <c:formatCode>_(* #,##0_);_(* \(#,##0\);_(* "-"??_);_(@_)</c:formatCode>
                <c:ptCount val="11"/>
                <c:pt idx="0">
                  <c:v>10665.78947368421</c:v>
                </c:pt>
                <c:pt idx="1">
                  <c:v>45323.684210526313</c:v>
                </c:pt>
                <c:pt idx="2">
                  <c:v>53445.761842105261</c:v>
                </c:pt>
                <c:pt idx="3">
                  <c:v>45323.684210526313</c:v>
                </c:pt>
                <c:pt idx="4">
                  <c:v>10665.78947368421</c:v>
                </c:pt>
                <c:pt idx="5">
                  <c:v>88103.656578947368</c:v>
                </c:pt>
                <c:pt idx="6">
                  <c:v>10665.78947368421</c:v>
                </c:pt>
                <c:pt idx="7">
                  <c:v>45323.684210526313</c:v>
                </c:pt>
                <c:pt idx="8">
                  <c:v>53445.761842105261</c:v>
                </c:pt>
                <c:pt idx="9">
                  <c:v>45323.684210526313</c:v>
                </c:pt>
                <c:pt idx="10">
                  <c:v>10665.78947368421</c:v>
                </c:pt>
              </c:numCache>
            </c:numRef>
          </c:val>
          <c:extLst xmlns:c16r2="http://schemas.microsoft.com/office/drawing/2015/06/chart">
            <c:ext xmlns:c16="http://schemas.microsoft.com/office/drawing/2014/chart" uri="{C3380CC4-5D6E-409C-BE32-E72D297353CC}">
              <c16:uniqueId val="{00000001-197B-4D8D-877B-11877C697448}"/>
            </c:ext>
          </c:extLst>
        </c:ser>
        <c:ser>
          <c:idx val="2"/>
          <c:order val="2"/>
          <c:tx>
            <c:strRef>
              <c:f>'Results-Tables'!$B$42</c:f>
              <c:strCache>
                <c:ptCount val="1"/>
                <c:pt idx="0">
                  <c:v>Medicines, supplies, commodities</c:v>
                </c:pt>
              </c:strCache>
            </c:strRef>
          </c:tx>
          <c:spPr>
            <a:solidFill>
              <a:schemeClr val="accent3"/>
            </a:solidFill>
            <a:ln>
              <a:noFill/>
            </a:ln>
            <a:effectLst/>
          </c:spPr>
          <c:cat>
            <c:numRef>
              <c:f>'Results-Tables'!$C$5:$M$5</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'Results-Tables'!$C$42:$M$42</c:f>
              <c:numCache>
                <c:formatCode>_(* #,##0_);_(* \(#,##0\);_(* "-"??_);_(@_)</c:formatCode>
                <c:ptCount val="11"/>
                <c:pt idx="0">
                  <c:v>177388.9864661654</c:v>
                </c:pt>
                <c:pt idx="1">
                  <c:v>271828.1097744361</c:v>
                </c:pt>
                <c:pt idx="2">
                  <c:v>371884.26917293231</c:v>
                </c:pt>
                <c:pt idx="3">
                  <c:v>477483.16691729322</c:v>
                </c:pt>
                <c:pt idx="4">
                  <c:v>588123.53684210521</c:v>
                </c:pt>
                <c:pt idx="5">
                  <c:v>705095.51278195484</c:v>
                </c:pt>
                <c:pt idx="6">
                  <c:v>827148.9729323308</c:v>
                </c:pt>
                <c:pt idx="7">
                  <c:v>955440.51428571425</c:v>
                </c:pt>
                <c:pt idx="8">
                  <c:v>1090848.732330827</c:v>
                </c:pt>
                <c:pt idx="9">
                  <c:v>1233621.452631579</c:v>
                </c:pt>
                <c:pt idx="10">
                  <c:v>1382878.0992481203</c:v>
                </c:pt>
              </c:numCache>
            </c:numRef>
          </c:val>
          <c:extLst xmlns:c16r2="http://schemas.microsoft.com/office/drawing/2015/06/chart">
            <c:ext xmlns:c16="http://schemas.microsoft.com/office/drawing/2014/chart" uri="{C3380CC4-5D6E-409C-BE32-E72D297353CC}">
              <c16:uniqueId val="{00000002-197B-4D8D-877B-11877C697448}"/>
            </c:ext>
          </c:extLst>
        </c:ser>
        <c:ser>
          <c:idx val="3"/>
          <c:order val="3"/>
          <c:tx>
            <c:strRef>
              <c:f>'Results-Tables'!$B$43</c:f>
              <c:strCache>
                <c:ptCount val="1"/>
                <c:pt idx="0">
                  <c:v>Supervision</c:v>
                </c:pt>
              </c:strCache>
            </c:strRef>
          </c:tx>
          <c:spPr>
            <a:solidFill>
              <a:schemeClr val="accent4"/>
            </a:solidFill>
            <a:ln>
              <a:noFill/>
            </a:ln>
            <a:effectLst/>
          </c:spPr>
          <c:cat>
            <c:numRef>
              <c:f>'Results-Tables'!$C$5:$M$5</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'Results-Tables'!$C$43:$M$43</c:f>
              <c:numCache>
                <c:formatCode>_(* #,##0_);_(* \(#,##0\);_(* "-"??_);_(@_)</c:formatCode>
                <c:ptCount val="11"/>
                <c:pt idx="0">
                  <c:v>76864.962406015038</c:v>
                </c:pt>
                <c:pt idx="1">
                  <c:v>76864.962406015038</c:v>
                </c:pt>
                <c:pt idx="2">
                  <c:v>76864.962406015038</c:v>
                </c:pt>
                <c:pt idx="3">
                  <c:v>76864.962406015038</c:v>
                </c:pt>
                <c:pt idx="4">
                  <c:v>76864.962406015038</c:v>
                </c:pt>
                <c:pt idx="5">
                  <c:v>76864.962406015038</c:v>
                </c:pt>
                <c:pt idx="6">
                  <c:v>76864.962406015038</c:v>
                </c:pt>
                <c:pt idx="7">
                  <c:v>76864.962406015038</c:v>
                </c:pt>
                <c:pt idx="8">
                  <c:v>76864.962406015038</c:v>
                </c:pt>
                <c:pt idx="9">
                  <c:v>76864.962406015038</c:v>
                </c:pt>
                <c:pt idx="10">
                  <c:v>76864.962406015038</c:v>
                </c:pt>
              </c:numCache>
            </c:numRef>
          </c:val>
          <c:extLst xmlns:c16r2="http://schemas.microsoft.com/office/drawing/2015/06/chart">
            <c:ext xmlns:c16="http://schemas.microsoft.com/office/drawing/2014/chart" uri="{C3380CC4-5D6E-409C-BE32-E72D297353CC}">
              <c16:uniqueId val="{00000003-197B-4D8D-877B-11877C697448}"/>
            </c:ext>
          </c:extLst>
        </c:ser>
        <c:ser>
          <c:idx val="4"/>
          <c:order val="4"/>
          <c:tx>
            <c:strRef>
              <c:f>'Results-Tables'!$B$44</c:f>
              <c:strCache>
                <c:ptCount val="1"/>
                <c:pt idx="0">
                  <c:v>Training</c:v>
                </c:pt>
              </c:strCache>
            </c:strRef>
          </c:tx>
          <c:spPr>
            <a:solidFill>
              <a:schemeClr val="accent5"/>
            </a:solidFill>
            <a:ln>
              <a:noFill/>
            </a:ln>
            <a:effectLst/>
          </c:spPr>
          <c:cat>
            <c:numRef>
              <c:f>'Results-Tables'!$C$5:$M$5</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'Results-Tables'!$C$44:$M$44</c:f>
              <c:numCache>
                <c:formatCode>_(* #,##0_);_(* \(#,##0\);_(* "-"??_);_(@_)</c:formatCode>
                <c:ptCount val="11"/>
                <c:pt idx="0">
                  <c:v>0</c:v>
                </c:pt>
                <c:pt idx="1">
                  <c:v>212405.89714285714</c:v>
                </c:pt>
                <c:pt idx="2">
                  <c:v>212405.89714285714</c:v>
                </c:pt>
                <c:pt idx="3">
                  <c:v>212405.89714285714</c:v>
                </c:pt>
                <c:pt idx="4">
                  <c:v>212405.89714285714</c:v>
                </c:pt>
                <c:pt idx="5">
                  <c:v>212405.89714285714</c:v>
                </c:pt>
                <c:pt idx="6">
                  <c:v>212405.89714285714</c:v>
                </c:pt>
                <c:pt idx="7">
                  <c:v>212405.89714285714</c:v>
                </c:pt>
                <c:pt idx="8">
                  <c:v>212405.89714285714</c:v>
                </c:pt>
                <c:pt idx="9">
                  <c:v>212405.89714285714</c:v>
                </c:pt>
                <c:pt idx="10">
                  <c:v>212405.89714285714</c:v>
                </c:pt>
              </c:numCache>
            </c:numRef>
          </c:val>
          <c:extLst xmlns:c16r2="http://schemas.microsoft.com/office/drawing/2015/06/chart">
            <c:ext xmlns:c16="http://schemas.microsoft.com/office/drawing/2014/chart" uri="{C3380CC4-5D6E-409C-BE32-E72D297353CC}">
              <c16:uniqueId val="{00000004-197B-4D8D-877B-11877C697448}"/>
            </c:ext>
          </c:extLst>
        </c:ser>
        <c:ser>
          <c:idx val="5"/>
          <c:order val="5"/>
          <c:tx>
            <c:strRef>
              <c:f>'Results-Tables'!$B$45</c:f>
              <c:strCache>
                <c:ptCount val="1"/>
                <c:pt idx="0">
                  <c:v>Management</c:v>
                </c:pt>
              </c:strCache>
            </c:strRef>
          </c:tx>
          <c:spPr>
            <a:solidFill>
              <a:schemeClr val="accent6"/>
            </a:solidFill>
            <a:ln>
              <a:noFill/>
            </a:ln>
            <a:effectLst/>
          </c:spPr>
          <c:cat>
            <c:numRef>
              <c:f>'Results-Tables'!$C$5:$M$5</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'Results-Tables'!$C$45:$M$45</c:f>
              <c:numCache>
                <c:formatCode>_(* #,##0_);_(* \(#,##0\);_(* "-"??_);_(@_)</c:formatCode>
                <c:ptCount val="11"/>
                <c:pt idx="0">
                  <c:v>110372.93233082707</c:v>
                </c:pt>
                <c:pt idx="1">
                  <c:v>110372.93233082707</c:v>
                </c:pt>
                <c:pt idx="2">
                  <c:v>110372.93233082707</c:v>
                </c:pt>
                <c:pt idx="3">
                  <c:v>110372.93233082707</c:v>
                </c:pt>
                <c:pt idx="4">
                  <c:v>110372.93233082707</c:v>
                </c:pt>
                <c:pt idx="5">
                  <c:v>110372.93233082707</c:v>
                </c:pt>
                <c:pt idx="6">
                  <c:v>110372.93233082707</c:v>
                </c:pt>
                <c:pt idx="7">
                  <c:v>110372.93233082707</c:v>
                </c:pt>
                <c:pt idx="8">
                  <c:v>110372.93233082707</c:v>
                </c:pt>
                <c:pt idx="9">
                  <c:v>110372.93233082707</c:v>
                </c:pt>
                <c:pt idx="10">
                  <c:v>110372.93233082707</c:v>
                </c:pt>
              </c:numCache>
            </c:numRef>
          </c:val>
          <c:extLst xmlns:c16r2="http://schemas.microsoft.com/office/drawing/2015/06/chart">
            <c:ext xmlns:c16="http://schemas.microsoft.com/office/drawing/2014/chart" uri="{C3380CC4-5D6E-409C-BE32-E72D297353CC}">
              <c16:uniqueId val="{00000005-197B-4D8D-877B-11877C697448}"/>
            </c:ext>
          </c:extLst>
        </c:ser>
        <c:ser>
          <c:idx val="6"/>
          <c:order val="6"/>
          <c:tx>
            <c:strRef>
              <c:f>'Results-Tables'!$B$47</c:f>
              <c:strCache>
                <c:ptCount val="1"/>
                <c:pt idx="0">
                  <c:v>Other Program Costs</c:v>
                </c:pt>
              </c:strCache>
            </c:strRef>
          </c:tx>
          <c:spPr>
            <a:solidFill>
              <a:schemeClr val="accent1">
                <a:lumMod val="60000"/>
              </a:schemeClr>
            </a:solidFill>
            <a:ln>
              <a:noFill/>
            </a:ln>
            <a:effectLst/>
          </c:spPr>
          <c:cat>
            <c:numRef>
              <c:f>'Results-Tables'!$C$5:$M$5</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'Results-Tables'!$C$47:$M$47</c:f>
              <c:numCache>
                <c:formatCode>_(* #,##0_);_(* \(#,##0\);_(* "-"??_);_(@_)</c:formatCode>
                <c:ptCount val="11"/>
                <c:pt idx="0">
                  <c:v>0</c:v>
                </c:pt>
                <c:pt idx="1">
                  <c:v>0</c:v>
                </c:pt>
                <c:pt idx="2">
                  <c:v>0</c:v>
                </c:pt>
                <c:pt idx="3">
                  <c:v>0</c:v>
                </c:pt>
                <c:pt idx="4">
                  <c:v>0</c:v>
                </c:pt>
                <c:pt idx="5">
                  <c:v>0</c:v>
                </c:pt>
                <c:pt idx="6">
                  <c:v>0</c:v>
                </c:pt>
                <c:pt idx="7">
                  <c:v>0</c:v>
                </c:pt>
                <c:pt idx="8">
                  <c:v>0</c:v>
                </c:pt>
                <c:pt idx="9">
                  <c:v>0</c:v>
                </c:pt>
                <c:pt idx="10">
                  <c:v>0</c:v>
                </c:pt>
              </c:numCache>
            </c:numRef>
          </c:val>
          <c:extLst xmlns:c16r2="http://schemas.microsoft.com/office/drawing/2015/06/chart">
            <c:ext xmlns:c16="http://schemas.microsoft.com/office/drawing/2014/chart" uri="{C3380CC4-5D6E-409C-BE32-E72D297353CC}">
              <c16:uniqueId val="{00000006-197B-4D8D-877B-11877C697448}"/>
            </c:ext>
          </c:extLst>
        </c:ser>
        <c:dLbls>
          <c:showLegendKey val="0"/>
          <c:showVal val="0"/>
          <c:showCatName val="0"/>
          <c:showSerName val="0"/>
          <c:showPercent val="0"/>
          <c:showBubbleSize val="0"/>
        </c:dLbls>
        <c:axId val="76495104"/>
        <c:axId val="76513280"/>
      </c:areaChart>
      <c:catAx>
        <c:axId val="76495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76513280"/>
        <c:crosses val="autoZero"/>
        <c:auto val="1"/>
        <c:lblAlgn val="ctr"/>
        <c:lblOffset val="100"/>
        <c:noMultiLvlLbl val="0"/>
      </c:catAx>
      <c:valAx>
        <c:axId val="76513280"/>
        <c:scaling>
          <c:orientation val="minMax"/>
        </c:scaling>
        <c:delete val="0"/>
        <c:axPos val="l"/>
        <c:majorGridlines/>
        <c:numFmt formatCode="_(&quot;$&quot;* #,##0_);_(&quot;$&quot;* \(#,##0\);_(&quot;$&quot;* &quot;-&quot;_);_(@_)" sourceLinked="0"/>
        <c:majorTickMark val="none"/>
        <c:minorTickMark val="none"/>
        <c:tickLblPos val="nextTo"/>
        <c:spPr>
          <a:noFill/>
          <a:ln>
            <a:noFill/>
          </a:ln>
          <a:effectLst/>
        </c:spPr>
        <c:txPr>
          <a:bodyPr rot="-60000000" vert="horz"/>
          <a:lstStyle/>
          <a:p>
            <a:pPr>
              <a:defRPr/>
            </a:pPr>
            <a:endParaRPr lang="en-US"/>
          </a:p>
        </c:txPr>
        <c:crossAx val="76495104"/>
        <c:crosses val="autoZero"/>
        <c:crossBetween val="midCat"/>
      </c:valAx>
      <c:spPr>
        <a:solidFill>
          <a:schemeClr val="bg1">
            <a:lumMod val="95000"/>
          </a:schemeClr>
        </a:solidFill>
        <a:ln>
          <a:noFill/>
        </a:ln>
        <a:effectLst/>
      </c:spPr>
    </c:plotArea>
    <c:legend>
      <c:legendPos val="b"/>
      <c:layout>
        <c:manualLayout>
          <c:xMode val="edge"/>
          <c:yMode val="edge"/>
          <c:x val="0"/>
          <c:y val="0.83230890617200459"/>
          <c:w val="0.99923691589833319"/>
          <c:h val="0.1676911440958388"/>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Program_Data!$D$40</c:f>
              <c:strCache>
                <c:ptCount val="1"/>
                <c:pt idx="0">
                  <c:v>Maternal, newborn, and child health</c:v>
                </c:pt>
              </c:strCache>
            </c:strRef>
          </c:tx>
          <c:spPr>
            <a:solidFill>
              <a:schemeClr val="accent1"/>
            </a:solidFill>
            <a:ln>
              <a:noFill/>
            </a:ln>
            <a:effectLst/>
          </c:spPr>
          <c:invertIfNegative val="0"/>
          <c:cat>
            <c:numRef>
              <c:f>'Results-Tables'!$C$5:$M$5</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Summary_Program!$C$13:$M$13</c:f>
              <c:numCache>
                <c:formatCode>_(* #,##0_);_(* \(#,##0\);_(* "-"??_);_(@_)</c:formatCode>
                <c:ptCount val="11"/>
                <c:pt idx="0">
                  <c:v>46989</c:v>
                </c:pt>
                <c:pt idx="1">
                  <c:v>181303.63637000002</c:v>
                </c:pt>
                <c:pt idx="2">
                  <c:v>205042.34879333331</c:v>
                </c:pt>
                <c:pt idx="3">
                  <c:v>228735.18751333331</c:v>
                </c:pt>
                <c:pt idx="4">
                  <c:v>254409.69042666664</c:v>
                </c:pt>
                <c:pt idx="5">
                  <c:v>279006.34176666662</c:v>
                </c:pt>
                <c:pt idx="6">
                  <c:v>285195.74708333332</c:v>
                </c:pt>
                <c:pt idx="7">
                  <c:v>291522.41256666667</c:v>
                </c:pt>
                <c:pt idx="8">
                  <c:v>297987.37288333336</c:v>
                </c:pt>
                <c:pt idx="9">
                  <c:v>304596.78135</c:v>
                </c:pt>
                <c:pt idx="10">
                  <c:v>311352.7023</c:v>
                </c:pt>
              </c:numCache>
            </c:numRef>
          </c:val>
          <c:extLst xmlns:c16r2="http://schemas.microsoft.com/office/drawing/2015/06/chart">
            <c:ext xmlns:c16="http://schemas.microsoft.com/office/drawing/2014/chart" uri="{C3380CC4-5D6E-409C-BE32-E72D297353CC}">
              <c16:uniqueId val="{00000000-74D4-4234-AB7E-F9324E03CC62}"/>
            </c:ext>
          </c:extLst>
        </c:ser>
        <c:ser>
          <c:idx val="1"/>
          <c:order val="1"/>
          <c:tx>
            <c:strRef>
              <c:f>Program_Data!$D$41</c:f>
              <c:strCache>
                <c:ptCount val="1"/>
                <c:pt idx="0">
                  <c:v>iCCM</c:v>
                </c:pt>
              </c:strCache>
            </c:strRef>
          </c:tx>
          <c:spPr>
            <a:solidFill>
              <a:schemeClr val="accent2"/>
            </a:solidFill>
            <a:ln>
              <a:noFill/>
            </a:ln>
            <a:effectLst/>
          </c:spPr>
          <c:invertIfNegative val="0"/>
          <c:cat>
            <c:numRef>
              <c:f>'Results-Tables'!$C$5:$M$5</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Summary_Program!$C$14:$M$14</c:f>
              <c:numCache>
                <c:formatCode>_(* #,##0_);_(* \(#,##0\);_(* "-"??_);_(@_)</c:formatCode>
                <c:ptCount val="11"/>
                <c:pt idx="0">
                  <c:v>61963</c:v>
                </c:pt>
                <c:pt idx="1">
                  <c:v>446581.68391380925</c:v>
                </c:pt>
                <c:pt idx="2">
                  <c:v>833698.99384793011</c:v>
                </c:pt>
                <c:pt idx="3">
                  <c:v>1237771.9877686456</c:v>
                </c:pt>
                <c:pt idx="4">
                  <c:v>1659349.9256759563</c:v>
                </c:pt>
                <c:pt idx="5">
                  <c:v>2014365.2783333336</c:v>
                </c:pt>
                <c:pt idx="6">
                  <c:v>2059061.3108333333</c:v>
                </c:pt>
                <c:pt idx="7">
                  <c:v>2104718.5483333338</c:v>
                </c:pt>
                <c:pt idx="8">
                  <c:v>2151405.6483333339</c:v>
                </c:pt>
                <c:pt idx="9">
                  <c:v>2199122.6108333338</c:v>
                </c:pt>
                <c:pt idx="10">
                  <c:v>2247892.3216666668</c:v>
                </c:pt>
              </c:numCache>
            </c:numRef>
          </c:val>
          <c:extLst xmlns:c16r2="http://schemas.microsoft.com/office/drawing/2015/06/chart">
            <c:ext xmlns:c16="http://schemas.microsoft.com/office/drawing/2014/chart" uri="{C3380CC4-5D6E-409C-BE32-E72D297353CC}">
              <c16:uniqueId val="{00000001-74D4-4234-AB7E-F9324E03CC62}"/>
            </c:ext>
          </c:extLst>
        </c:ser>
        <c:ser>
          <c:idx val="2"/>
          <c:order val="2"/>
          <c:tx>
            <c:strRef>
              <c:f>Program_Data!$D$42</c:f>
              <c:strCache>
                <c:ptCount val="1"/>
                <c:pt idx="0">
                  <c:v>Disease prevention and control</c:v>
                </c:pt>
              </c:strCache>
            </c:strRef>
          </c:tx>
          <c:spPr>
            <a:solidFill>
              <a:schemeClr val="accent3"/>
            </a:solidFill>
            <a:ln>
              <a:noFill/>
            </a:ln>
            <a:effectLst/>
          </c:spPr>
          <c:invertIfNegative val="0"/>
          <c:cat>
            <c:numRef>
              <c:f>'Results-Tables'!$C$5:$M$5</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Summary_Program!$C$15:$M$15</c:f>
              <c:numCache>
                <c:formatCode>_(* #,##0_);_(* \(#,##0\);_(* "-"??_);_(@_)</c:formatCode>
                <c:ptCount val="11"/>
                <c:pt idx="0">
                  <c:v>0</c:v>
                </c:pt>
                <c:pt idx="1">
                  <c:v>3005.8434000000002</c:v>
                </c:pt>
                <c:pt idx="2">
                  <c:v>6011.6868000000004</c:v>
                </c:pt>
                <c:pt idx="3">
                  <c:v>9017.5302000000011</c:v>
                </c:pt>
                <c:pt idx="4">
                  <c:v>12023.373600000001</c:v>
                </c:pt>
                <c:pt idx="5">
                  <c:v>15029.217000000001</c:v>
                </c:pt>
                <c:pt idx="6">
                  <c:v>15029.217000000001</c:v>
                </c:pt>
                <c:pt idx="7">
                  <c:v>15029.217000000001</c:v>
                </c:pt>
                <c:pt idx="8">
                  <c:v>15029.217000000001</c:v>
                </c:pt>
                <c:pt idx="9">
                  <c:v>15029.217000000001</c:v>
                </c:pt>
                <c:pt idx="10">
                  <c:v>15029.217000000001</c:v>
                </c:pt>
              </c:numCache>
            </c:numRef>
          </c:val>
          <c:extLst xmlns:c16r2="http://schemas.microsoft.com/office/drawing/2015/06/chart">
            <c:ext xmlns:c16="http://schemas.microsoft.com/office/drawing/2014/chart" uri="{C3380CC4-5D6E-409C-BE32-E72D297353CC}">
              <c16:uniqueId val="{00000002-74D4-4234-AB7E-F9324E03CC62}"/>
            </c:ext>
          </c:extLst>
        </c:ser>
        <c:ser>
          <c:idx val="3"/>
          <c:order val="3"/>
          <c:tx>
            <c:strRef>
              <c:f>Program_Data!$D$43</c:f>
              <c:strCache>
                <c:ptCount val="1"/>
                <c:pt idx="0">
                  <c:v>TB/HIV</c:v>
                </c:pt>
              </c:strCache>
            </c:strRef>
          </c:tx>
          <c:spPr>
            <a:solidFill>
              <a:schemeClr val="accent4"/>
            </a:solidFill>
            <a:ln>
              <a:noFill/>
            </a:ln>
            <a:effectLst/>
          </c:spPr>
          <c:invertIfNegative val="0"/>
          <c:cat>
            <c:numRef>
              <c:f>'Results-Tables'!$C$5:$M$5</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Summary_Program!$C$16:$M$16</c:f>
              <c:numCache>
                <c:formatCode>_(* #,##0_);_(* \(#,##0\);_(* "-"??_);_(@_)</c:formatCode>
                <c:ptCount val="11"/>
                <c:pt idx="0">
                  <c:v>0</c:v>
                </c:pt>
                <c:pt idx="1">
                  <c:v>0</c:v>
                </c:pt>
                <c:pt idx="2">
                  <c:v>0</c:v>
                </c:pt>
                <c:pt idx="3">
                  <c:v>0</c:v>
                </c:pt>
                <c:pt idx="4">
                  <c:v>0</c:v>
                </c:pt>
                <c:pt idx="5">
                  <c:v>0</c:v>
                </c:pt>
                <c:pt idx="6">
                  <c:v>0</c:v>
                </c:pt>
                <c:pt idx="7">
                  <c:v>0</c:v>
                </c:pt>
                <c:pt idx="8">
                  <c:v>0</c:v>
                </c:pt>
                <c:pt idx="9">
                  <c:v>0</c:v>
                </c:pt>
                <c:pt idx="10">
                  <c:v>0</c:v>
                </c:pt>
              </c:numCache>
            </c:numRef>
          </c:val>
          <c:extLst xmlns:c16r2="http://schemas.microsoft.com/office/drawing/2015/06/chart">
            <c:ext xmlns:c16="http://schemas.microsoft.com/office/drawing/2014/chart" uri="{C3380CC4-5D6E-409C-BE32-E72D297353CC}">
              <c16:uniqueId val="{00000003-74D4-4234-AB7E-F9324E03CC62}"/>
            </c:ext>
          </c:extLst>
        </c:ser>
        <c:ser>
          <c:idx val="4"/>
          <c:order val="4"/>
          <c:tx>
            <c:strRef>
              <c:f>Program_Data!$D$44</c:f>
              <c:strCache>
                <c:ptCount val="1"/>
                <c:pt idx="0">
                  <c:v>Reproductive health and family planning</c:v>
                </c:pt>
              </c:strCache>
            </c:strRef>
          </c:tx>
          <c:spPr>
            <a:solidFill>
              <a:schemeClr val="accent5"/>
            </a:solidFill>
            <a:ln>
              <a:noFill/>
            </a:ln>
            <a:effectLst/>
          </c:spPr>
          <c:invertIfNegative val="0"/>
          <c:cat>
            <c:numRef>
              <c:f>'Results-Tables'!$C$5:$M$5</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Summary_Program!$C$17:$M$17</c:f>
              <c:numCache>
                <c:formatCode>_(* #,##0_);_(* \(#,##0\);_(* "-"??_);_(@_)</c:formatCode>
                <c:ptCount val="11"/>
                <c:pt idx="0">
                  <c:v>0</c:v>
                </c:pt>
                <c:pt idx="1">
                  <c:v>111134.16</c:v>
                </c:pt>
                <c:pt idx="2">
                  <c:v>111471</c:v>
                </c:pt>
                <c:pt idx="3">
                  <c:v>111815.4</c:v>
                </c:pt>
                <c:pt idx="4">
                  <c:v>112167.36</c:v>
                </c:pt>
                <c:pt idx="5">
                  <c:v>112527.24</c:v>
                </c:pt>
                <c:pt idx="6">
                  <c:v>112895.04000000001</c:v>
                </c:pt>
                <c:pt idx="7">
                  <c:v>113271</c:v>
                </c:pt>
                <c:pt idx="8">
                  <c:v>113655.24</c:v>
                </c:pt>
                <c:pt idx="9">
                  <c:v>114048.12</c:v>
                </c:pt>
                <c:pt idx="10">
                  <c:v>114449.64</c:v>
                </c:pt>
              </c:numCache>
            </c:numRef>
          </c:val>
          <c:extLst xmlns:c16r2="http://schemas.microsoft.com/office/drawing/2015/06/chart">
            <c:ext xmlns:c16="http://schemas.microsoft.com/office/drawing/2014/chart" uri="{C3380CC4-5D6E-409C-BE32-E72D297353CC}">
              <c16:uniqueId val="{00000004-74D4-4234-AB7E-F9324E03CC62}"/>
            </c:ext>
          </c:extLst>
        </c:ser>
        <c:ser>
          <c:idx val="5"/>
          <c:order val="5"/>
          <c:tx>
            <c:strRef>
              <c:f>Program_Data!$D$45</c:f>
              <c:strCache>
                <c:ptCount val="1"/>
                <c:pt idx="0">
                  <c:v>Malaria (5 years+)</c:v>
                </c:pt>
              </c:strCache>
            </c:strRef>
          </c:tx>
          <c:spPr>
            <a:solidFill>
              <a:schemeClr val="accent6"/>
            </a:solidFill>
            <a:ln>
              <a:noFill/>
            </a:ln>
            <a:effectLst/>
          </c:spPr>
          <c:invertIfNegative val="0"/>
          <c:cat>
            <c:numRef>
              <c:f>'Results-Tables'!$C$5:$M$5</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Summary_Program!$C$18:$M$18</c:f>
              <c:numCache>
                <c:formatCode>_(* #,##0_);_(* \(#,##0\);_(* "-"??_);_(@_)</c:formatCode>
                <c:ptCount val="11"/>
                <c:pt idx="0">
                  <c:v>0</c:v>
                </c:pt>
                <c:pt idx="1">
                  <c:v>192480.64000000001</c:v>
                </c:pt>
                <c:pt idx="2">
                  <c:v>393499.92</c:v>
                </c:pt>
                <c:pt idx="3">
                  <c:v>603341.64000000013</c:v>
                </c:pt>
                <c:pt idx="4">
                  <c:v>822298.4</c:v>
                </c:pt>
                <c:pt idx="5">
                  <c:v>1050669.3999999999</c:v>
                </c:pt>
                <c:pt idx="6">
                  <c:v>1073974</c:v>
                </c:pt>
                <c:pt idx="7">
                  <c:v>1097795.6000000001</c:v>
                </c:pt>
                <c:pt idx="8">
                  <c:v>1122143</c:v>
                </c:pt>
                <c:pt idx="9">
                  <c:v>1147033.7999999998</c:v>
                </c:pt>
                <c:pt idx="10">
                  <c:v>1172474.6000000001</c:v>
                </c:pt>
              </c:numCache>
            </c:numRef>
          </c:val>
          <c:extLst xmlns:c16r2="http://schemas.microsoft.com/office/drawing/2015/06/chart">
            <c:ext xmlns:c16="http://schemas.microsoft.com/office/drawing/2014/chart" uri="{C3380CC4-5D6E-409C-BE32-E72D297353CC}">
              <c16:uniqueId val="{00000005-74D4-4234-AB7E-F9324E03CC62}"/>
            </c:ext>
          </c:extLst>
        </c:ser>
        <c:ser>
          <c:idx val="6"/>
          <c:order val="6"/>
          <c:tx>
            <c:strRef>
              <c:f>Program_Data!$D$46</c:f>
              <c:strCache>
                <c:ptCount val="1"/>
                <c:pt idx="0">
                  <c:v>Nutrition</c:v>
                </c:pt>
              </c:strCache>
            </c:strRef>
          </c:tx>
          <c:spPr>
            <a:solidFill>
              <a:schemeClr val="accent1">
                <a:lumMod val="60000"/>
              </a:schemeClr>
            </a:solidFill>
            <a:ln>
              <a:noFill/>
            </a:ln>
            <a:effectLst/>
          </c:spPr>
          <c:invertIfNegative val="0"/>
          <c:cat>
            <c:numRef>
              <c:f>'Results-Tables'!$C$5:$M$5</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Summary_Program!$C$19:$M$19</c:f>
              <c:numCache>
                <c:formatCode>_(* #,##0_);_(* \(#,##0\);_(* "-"??_);_(@_)</c:formatCode>
                <c:ptCount val="11"/>
                <c:pt idx="0">
                  <c:v>1365</c:v>
                </c:pt>
                <c:pt idx="1">
                  <c:v>11929.127040000003</c:v>
                </c:pt>
                <c:pt idx="2">
                  <c:v>20085.452640000003</c:v>
                </c:pt>
                <c:pt idx="3">
                  <c:v>28597.795200000008</c:v>
                </c:pt>
                <c:pt idx="4">
                  <c:v>37477.645919999995</c:v>
                </c:pt>
                <c:pt idx="5">
                  <c:v>46737.558000000005</c:v>
                </c:pt>
                <c:pt idx="6">
                  <c:v>47774.60100000001</c:v>
                </c:pt>
                <c:pt idx="7">
                  <c:v>48833.946000000004</c:v>
                </c:pt>
                <c:pt idx="8">
                  <c:v>49917.186000000009</c:v>
                </c:pt>
                <c:pt idx="9">
                  <c:v>51024.321000000011</c:v>
                </c:pt>
                <c:pt idx="10">
                  <c:v>52155.881999999998</c:v>
                </c:pt>
              </c:numCache>
            </c:numRef>
          </c:val>
          <c:extLst xmlns:c16r2="http://schemas.microsoft.com/office/drawing/2015/06/chart">
            <c:ext xmlns:c16="http://schemas.microsoft.com/office/drawing/2014/chart" uri="{C3380CC4-5D6E-409C-BE32-E72D297353CC}">
              <c16:uniqueId val="{00000006-74D4-4234-AB7E-F9324E03CC62}"/>
            </c:ext>
          </c:extLst>
        </c:ser>
        <c:ser>
          <c:idx val="7"/>
          <c:order val="7"/>
          <c:tx>
            <c:strRef>
              <c:f>Program_Data!$D$47</c:f>
              <c:strCache>
                <c:ptCount val="1"/>
                <c:pt idx="0">
                  <c:v>Campaign mobilization</c:v>
                </c:pt>
              </c:strCache>
            </c:strRef>
          </c:tx>
          <c:spPr>
            <a:solidFill>
              <a:schemeClr val="accent2">
                <a:lumMod val="60000"/>
              </a:schemeClr>
            </a:solidFill>
            <a:ln>
              <a:noFill/>
            </a:ln>
            <a:effectLst/>
          </c:spPr>
          <c:invertIfNegative val="0"/>
          <c:cat>
            <c:numRef>
              <c:f>'Results-Tables'!$C$5:$M$5</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Summary_Program!$C$20:$M$20</c:f>
              <c:numCache>
                <c:formatCode>_(* #,##0_);_(* \(#,##0\);_(* "-"??_);_(@_)</c:formatCode>
                <c:ptCount val="11"/>
                <c:pt idx="0">
                  <c:v>0</c:v>
                </c:pt>
                <c:pt idx="1">
                  <c:v>15404.333333333334</c:v>
                </c:pt>
                <c:pt idx="2">
                  <c:v>15404.333333333334</c:v>
                </c:pt>
                <c:pt idx="3">
                  <c:v>15404.333333333334</c:v>
                </c:pt>
                <c:pt idx="4">
                  <c:v>15404.333333333334</c:v>
                </c:pt>
                <c:pt idx="5">
                  <c:v>15404.333333333334</c:v>
                </c:pt>
                <c:pt idx="6">
                  <c:v>15404.333333333334</c:v>
                </c:pt>
                <c:pt idx="7">
                  <c:v>15404.333333333334</c:v>
                </c:pt>
                <c:pt idx="8">
                  <c:v>15404.333333333334</c:v>
                </c:pt>
                <c:pt idx="9">
                  <c:v>15404.333333333334</c:v>
                </c:pt>
                <c:pt idx="10">
                  <c:v>15404.333333333334</c:v>
                </c:pt>
              </c:numCache>
            </c:numRef>
          </c:val>
          <c:extLst xmlns:c16r2="http://schemas.microsoft.com/office/drawing/2015/06/chart">
            <c:ext xmlns:c16="http://schemas.microsoft.com/office/drawing/2014/chart" uri="{C3380CC4-5D6E-409C-BE32-E72D297353CC}">
              <c16:uniqueId val="{00000007-74D4-4234-AB7E-F9324E03CC62}"/>
            </c:ext>
          </c:extLst>
        </c:ser>
        <c:ser>
          <c:idx val="8"/>
          <c:order val="8"/>
          <c:tx>
            <c:strRef>
              <c:f>Program_Data!$D$48</c:f>
              <c:strCache>
                <c:ptCount val="1"/>
                <c:pt idx="0">
                  <c:v>Other</c:v>
                </c:pt>
              </c:strCache>
            </c:strRef>
          </c:tx>
          <c:spPr>
            <a:solidFill>
              <a:schemeClr val="accent3">
                <a:lumMod val="60000"/>
              </a:schemeClr>
            </a:solidFill>
            <a:ln>
              <a:noFill/>
            </a:ln>
            <a:effectLst/>
          </c:spPr>
          <c:invertIfNegative val="0"/>
          <c:cat>
            <c:numRef>
              <c:f>'Results-Tables'!$C$5:$M$5</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Summary_Program!$C$21:$M$21</c:f>
              <c:numCache>
                <c:formatCode>_(* #,##0_);_(* \(#,##0\);_(* "-"??_);_(@_)</c:formatCode>
                <c:ptCount val="11"/>
                <c:pt idx="0">
                  <c:v>0</c:v>
                </c:pt>
                <c:pt idx="1">
                  <c:v>88809.369491525416</c:v>
                </c:pt>
                <c:pt idx="2">
                  <c:v>91756.196610169485</c:v>
                </c:pt>
                <c:pt idx="3">
                  <c:v>94746.244067796608</c:v>
                </c:pt>
                <c:pt idx="4">
                  <c:v>97780.359322033895</c:v>
                </c:pt>
                <c:pt idx="5">
                  <c:v>100859.72881355931</c:v>
                </c:pt>
                <c:pt idx="6">
                  <c:v>102986</c:v>
                </c:pt>
                <c:pt idx="7">
                  <c:v>105159.38983050847</c:v>
                </c:pt>
                <c:pt idx="8">
                  <c:v>107380.91525423728</c:v>
                </c:pt>
                <c:pt idx="9">
                  <c:v>109651.93220338982</c:v>
                </c:pt>
                <c:pt idx="10">
                  <c:v>111973.11864406778</c:v>
                </c:pt>
              </c:numCache>
            </c:numRef>
          </c:val>
          <c:extLst xmlns:c16r2="http://schemas.microsoft.com/office/drawing/2015/06/chart">
            <c:ext xmlns:c16="http://schemas.microsoft.com/office/drawing/2014/chart" uri="{C3380CC4-5D6E-409C-BE32-E72D297353CC}">
              <c16:uniqueId val="{00000008-74D4-4234-AB7E-F9324E03CC62}"/>
            </c:ext>
          </c:extLst>
        </c:ser>
        <c:dLbls>
          <c:showLegendKey val="0"/>
          <c:showVal val="0"/>
          <c:showCatName val="0"/>
          <c:showSerName val="0"/>
          <c:showPercent val="0"/>
          <c:showBubbleSize val="0"/>
        </c:dLbls>
        <c:gapWidth val="219"/>
        <c:overlap val="100"/>
        <c:axId val="86247296"/>
        <c:axId val="86248832"/>
      </c:barChart>
      <c:catAx>
        <c:axId val="86247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86248832"/>
        <c:crosses val="autoZero"/>
        <c:auto val="1"/>
        <c:lblAlgn val="ctr"/>
        <c:lblOffset val="100"/>
        <c:noMultiLvlLbl val="0"/>
      </c:catAx>
      <c:valAx>
        <c:axId val="86248832"/>
        <c:scaling>
          <c:orientation val="minMax"/>
        </c:scaling>
        <c:delete val="0"/>
        <c:axPos val="l"/>
        <c:majorGridlines/>
        <c:title>
          <c:tx>
            <c:rich>
              <a:bodyPr rot="-5400000" vert="horz"/>
              <a:lstStyle/>
              <a:p>
                <a:pPr>
                  <a:defRPr b="0"/>
                </a:pPr>
                <a:r>
                  <a:rPr lang="en-US" b="0"/>
                  <a:t>Number of services</a:t>
                </a:r>
              </a:p>
            </c:rich>
          </c:tx>
          <c:overlay val="0"/>
        </c:title>
        <c:numFmt formatCode="_(* #,##0_);_(* \(#,##0\);_(* &quot;-&quot;??_);_(@_)" sourceLinked="1"/>
        <c:majorTickMark val="none"/>
        <c:minorTickMark val="none"/>
        <c:tickLblPos val="nextTo"/>
        <c:spPr>
          <a:noFill/>
          <a:ln>
            <a:noFill/>
          </a:ln>
          <a:effectLst/>
        </c:spPr>
        <c:txPr>
          <a:bodyPr rot="-60000000" vert="horz"/>
          <a:lstStyle/>
          <a:p>
            <a:pPr>
              <a:defRPr/>
            </a:pPr>
            <a:endParaRPr lang="en-US"/>
          </a:p>
        </c:txPr>
        <c:crossAx val="86247296"/>
        <c:crosses val="autoZero"/>
        <c:crossBetween val="between"/>
      </c:valAx>
      <c:spPr>
        <a:solidFill>
          <a:schemeClr val="bg1">
            <a:lumMod val="95000"/>
          </a:schemeClr>
        </a:solidFill>
        <a:ln>
          <a:noFill/>
        </a:ln>
        <a:effectLst/>
      </c:spPr>
    </c:plotArea>
    <c:legend>
      <c:legendPos val="b"/>
      <c:layout>
        <c:manualLayout>
          <c:xMode val="edge"/>
          <c:yMode val="edge"/>
          <c:x val="0"/>
          <c:y val="0.66617314680135831"/>
          <c:w val="1"/>
          <c:h val="0.31129016897781053"/>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sz="10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32465733449985"/>
          <c:y val="4.4989775051124746E-2"/>
          <c:w val="0.86221237970253717"/>
          <c:h val="0.67607877236204372"/>
        </c:manualLayout>
      </c:layout>
      <c:areaChart>
        <c:grouping val="stacked"/>
        <c:varyColors val="0"/>
        <c:ser>
          <c:idx val="0"/>
          <c:order val="0"/>
          <c:tx>
            <c:strRef>
              <c:f>'Results-Tables'!$B$43</c:f>
              <c:strCache>
                <c:ptCount val="1"/>
                <c:pt idx="0">
                  <c:v>CHW Salaries</c:v>
                </c:pt>
              </c:strCache>
            </c:strRef>
          </c:tx>
          <c:spPr>
            <a:solidFill>
              <a:schemeClr val="accent1"/>
            </a:solidFill>
            <a:ln>
              <a:noFill/>
            </a:ln>
            <a:effectLst/>
          </c:spPr>
          <c:cat>
            <c:numRef>
              <c:f>'Results-Tables'!$C$5:$M$5</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'Results-Tables'!$C$43:$M$43</c:f>
              <c:numCache>
                <c:formatCode>_(* #,##0_);_(* \(#,##0\);_(* "-"??_);_(@_)</c:formatCode>
                <c:ptCount val="11"/>
                <c:pt idx="0">
                  <c:v>20076.737753189969</c:v>
                </c:pt>
                <c:pt idx="1">
                  <c:v>486096.29127251677</c:v>
                </c:pt>
                <c:pt idx="2">
                  <c:v>486096.29127251677</c:v>
                </c:pt>
                <c:pt idx="3">
                  <c:v>486096.29127251677</c:v>
                </c:pt>
                <c:pt idx="4">
                  <c:v>486096.29127251677</c:v>
                </c:pt>
                <c:pt idx="5">
                  <c:v>486096.29127251677</c:v>
                </c:pt>
                <c:pt idx="6">
                  <c:v>486096.29127251677</c:v>
                </c:pt>
                <c:pt idx="7">
                  <c:v>486096.29127251677</c:v>
                </c:pt>
                <c:pt idx="8">
                  <c:v>486096.29127251677</c:v>
                </c:pt>
                <c:pt idx="9">
                  <c:v>486096.29127251677</c:v>
                </c:pt>
                <c:pt idx="10">
                  <c:v>486096.29127251677</c:v>
                </c:pt>
              </c:numCache>
            </c:numRef>
          </c:val>
          <c:extLst xmlns:c16r2="http://schemas.microsoft.com/office/drawing/2015/06/chart">
            <c:ext xmlns:c16="http://schemas.microsoft.com/office/drawing/2014/chart" uri="{C3380CC4-5D6E-409C-BE32-E72D297353CC}">
              <c16:uniqueId val="{00000000-197B-4D8D-877B-11877C697448}"/>
            </c:ext>
          </c:extLst>
        </c:ser>
        <c:ser>
          <c:idx val="1"/>
          <c:order val="1"/>
          <c:tx>
            <c:strRef>
              <c:f>'Results-Tables'!$B$44</c:f>
              <c:strCache>
                <c:ptCount val="1"/>
                <c:pt idx="0">
                  <c:v>Equipment</c:v>
                </c:pt>
              </c:strCache>
            </c:strRef>
          </c:tx>
          <c:spPr>
            <a:solidFill>
              <a:schemeClr val="accent2"/>
            </a:solidFill>
            <a:ln>
              <a:noFill/>
            </a:ln>
            <a:effectLst/>
          </c:spPr>
          <c:cat>
            <c:numRef>
              <c:f>'Results-Tables'!$C$5:$M$5</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'Results-Tables'!$C$44:$M$44</c:f>
              <c:numCache>
                <c:formatCode>_(* #,##0_);_(* \(#,##0\);_(* "-"??_);_(@_)</c:formatCode>
                <c:ptCount val="11"/>
                <c:pt idx="0">
                  <c:v>107626.52992803144</c:v>
                </c:pt>
                <c:pt idx="1">
                  <c:v>329331.54005380545</c:v>
                </c:pt>
                <c:pt idx="2">
                  <c:v>292721.80636692705</c:v>
                </c:pt>
                <c:pt idx="3">
                  <c:v>304577.17979819601</c:v>
                </c:pt>
                <c:pt idx="4">
                  <c:v>310840.40751303313</c:v>
                </c:pt>
                <c:pt idx="5">
                  <c:v>331562.7747388581</c:v>
                </c:pt>
                <c:pt idx="6">
                  <c:v>317476.16662253655</c:v>
                </c:pt>
                <c:pt idx="7">
                  <c:v>293235.91563757521</c:v>
                </c:pt>
                <c:pt idx="8">
                  <c:v>304063.07052754785</c:v>
                </c:pt>
                <c:pt idx="9">
                  <c:v>311354.51678368129</c:v>
                </c:pt>
                <c:pt idx="10">
                  <c:v>319707.40130758914</c:v>
                </c:pt>
              </c:numCache>
            </c:numRef>
          </c:val>
          <c:extLst xmlns:c16r2="http://schemas.microsoft.com/office/drawing/2015/06/chart">
            <c:ext xmlns:c16="http://schemas.microsoft.com/office/drawing/2014/chart" uri="{C3380CC4-5D6E-409C-BE32-E72D297353CC}">
              <c16:uniqueId val="{00000001-197B-4D8D-877B-11877C697448}"/>
            </c:ext>
          </c:extLst>
        </c:ser>
        <c:ser>
          <c:idx val="2"/>
          <c:order val="2"/>
          <c:tx>
            <c:strRef>
              <c:f>'Results-Tables'!$B$45</c:f>
              <c:strCache>
                <c:ptCount val="1"/>
                <c:pt idx="0">
                  <c:v>Medicines, supplies, commodities</c:v>
                </c:pt>
              </c:strCache>
            </c:strRef>
          </c:tx>
          <c:spPr>
            <a:solidFill>
              <a:schemeClr val="accent3"/>
            </a:solidFill>
            <a:ln>
              <a:noFill/>
            </a:ln>
            <a:effectLst/>
          </c:spPr>
          <c:cat>
            <c:numRef>
              <c:f>'Results-Tables'!$C$5:$M$5</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'Results-Tables'!$C$45:$M$45</c:f>
              <c:numCache>
                <c:formatCode>_(* #,##0_);_(* \(#,##0\);_(* "-"??_);_(@_)</c:formatCode>
                <c:ptCount val="11"/>
                <c:pt idx="0">
                  <c:v>3.2371594676404167</c:v>
                </c:pt>
                <c:pt idx="1">
                  <c:v>211926.91260956405</c:v>
                </c:pt>
                <c:pt idx="2">
                  <c:v>384422.7795471237</c:v>
                </c:pt>
                <c:pt idx="3">
                  <c:v>564343.85428749886</c:v>
                </c:pt>
                <c:pt idx="4">
                  <c:v>752218.58831362263</c:v>
                </c:pt>
                <c:pt idx="5">
                  <c:v>947874.28187053418</c:v>
                </c:pt>
                <c:pt idx="6">
                  <c:v>968047.2359308399</c:v>
                </c:pt>
                <c:pt idx="7">
                  <c:v>988658.33218935959</c:v>
                </c:pt>
                <c:pt idx="8">
                  <c:v>1009731.1681915835</c:v>
                </c:pt>
                <c:pt idx="9">
                  <c:v>1031270.5455381594</c:v>
                </c:pt>
                <c:pt idx="10">
                  <c:v>1053285.3366028101</c:v>
                </c:pt>
              </c:numCache>
            </c:numRef>
          </c:val>
          <c:extLst xmlns:c16r2="http://schemas.microsoft.com/office/drawing/2015/06/chart">
            <c:ext xmlns:c16="http://schemas.microsoft.com/office/drawing/2014/chart" uri="{C3380CC4-5D6E-409C-BE32-E72D297353CC}">
              <c16:uniqueId val="{00000002-197B-4D8D-877B-11877C697448}"/>
            </c:ext>
          </c:extLst>
        </c:ser>
        <c:ser>
          <c:idx val="3"/>
          <c:order val="3"/>
          <c:tx>
            <c:strRef>
              <c:f>'Results-Tables'!$B$46</c:f>
              <c:strCache>
                <c:ptCount val="1"/>
                <c:pt idx="0">
                  <c:v>Supervision</c:v>
                </c:pt>
              </c:strCache>
            </c:strRef>
          </c:tx>
          <c:spPr>
            <a:solidFill>
              <a:schemeClr val="accent4"/>
            </a:solidFill>
            <a:ln>
              <a:noFill/>
            </a:ln>
            <a:effectLst/>
          </c:spPr>
          <c:cat>
            <c:numRef>
              <c:f>'Results-Tables'!$C$5:$M$5</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'Results-Tables'!$C$46:$M$46</c:f>
              <c:numCache>
                <c:formatCode>_(* #,##0_);_(* \(#,##0\);_(* "-"??_);_(@_)</c:formatCode>
                <c:ptCount val="11"/>
                <c:pt idx="0">
                  <c:v>20591.52590070766</c:v>
                </c:pt>
                <c:pt idx="1">
                  <c:v>64348.518439711443</c:v>
                </c:pt>
                <c:pt idx="2">
                  <c:v>64348.518439711443</c:v>
                </c:pt>
                <c:pt idx="3">
                  <c:v>64348.518439711443</c:v>
                </c:pt>
                <c:pt idx="4">
                  <c:v>64348.518439711443</c:v>
                </c:pt>
                <c:pt idx="5">
                  <c:v>64348.518439711443</c:v>
                </c:pt>
                <c:pt idx="6">
                  <c:v>64348.518439711443</c:v>
                </c:pt>
                <c:pt idx="7">
                  <c:v>64348.518439711443</c:v>
                </c:pt>
                <c:pt idx="8">
                  <c:v>64348.518439711443</c:v>
                </c:pt>
                <c:pt idx="9">
                  <c:v>64348.518439711443</c:v>
                </c:pt>
                <c:pt idx="10">
                  <c:v>64348.518439711443</c:v>
                </c:pt>
              </c:numCache>
            </c:numRef>
          </c:val>
          <c:extLst xmlns:c16r2="http://schemas.microsoft.com/office/drawing/2015/06/chart">
            <c:ext xmlns:c16="http://schemas.microsoft.com/office/drawing/2014/chart" uri="{C3380CC4-5D6E-409C-BE32-E72D297353CC}">
              <c16:uniqueId val="{00000003-197B-4D8D-877B-11877C697448}"/>
            </c:ext>
          </c:extLst>
        </c:ser>
        <c:ser>
          <c:idx val="4"/>
          <c:order val="4"/>
          <c:tx>
            <c:strRef>
              <c:f>'Results-Tables'!$B$47</c:f>
              <c:strCache>
                <c:ptCount val="1"/>
                <c:pt idx="0">
                  <c:v>Training</c:v>
                </c:pt>
              </c:strCache>
            </c:strRef>
          </c:tx>
          <c:spPr>
            <a:solidFill>
              <a:schemeClr val="accent5"/>
            </a:solidFill>
            <a:ln>
              <a:noFill/>
            </a:ln>
            <a:effectLst/>
          </c:spPr>
          <c:cat>
            <c:numRef>
              <c:f>'Results-Tables'!$C$5:$M$5</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'Results-Tables'!$C$47:$M$47</c:f>
              <c:numCache>
                <c:formatCode>_(* #,##0_);_(* \(#,##0\);_(* "-"??_);_(@_)</c:formatCode>
                <c:ptCount val="11"/>
                <c:pt idx="0">
                  <c:v>108617.17271993367</c:v>
                </c:pt>
                <c:pt idx="1">
                  <c:v>749698.40331196215</c:v>
                </c:pt>
                <c:pt idx="2">
                  <c:v>161535.49688671969</c:v>
                </c:pt>
                <c:pt idx="3">
                  <c:v>161535.49688671969</c:v>
                </c:pt>
                <c:pt idx="4">
                  <c:v>161535.49688671969</c:v>
                </c:pt>
                <c:pt idx="5">
                  <c:v>161535.49688671969</c:v>
                </c:pt>
                <c:pt idx="6">
                  <c:v>161535.49688671969</c:v>
                </c:pt>
                <c:pt idx="7">
                  <c:v>161535.49688671969</c:v>
                </c:pt>
                <c:pt idx="8">
                  <c:v>161535.49688671969</c:v>
                </c:pt>
                <c:pt idx="9">
                  <c:v>161535.49688671969</c:v>
                </c:pt>
                <c:pt idx="10">
                  <c:v>161535.49688671969</c:v>
                </c:pt>
              </c:numCache>
            </c:numRef>
          </c:val>
          <c:extLst xmlns:c16r2="http://schemas.microsoft.com/office/drawing/2015/06/chart">
            <c:ext xmlns:c16="http://schemas.microsoft.com/office/drawing/2014/chart" uri="{C3380CC4-5D6E-409C-BE32-E72D297353CC}">
              <c16:uniqueId val="{00000004-197B-4D8D-877B-11877C697448}"/>
            </c:ext>
          </c:extLst>
        </c:ser>
        <c:ser>
          <c:idx val="5"/>
          <c:order val="5"/>
          <c:tx>
            <c:strRef>
              <c:f>'Results-Tables'!$B$48</c:f>
              <c:strCache>
                <c:ptCount val="1"/>
                <c:pt idx="0">
                  <c:v>Management</c:v>
                </c:pt>
              </c:strCache>
            </c:strRef>
          </c:tx>
          <c:spPr>
            <a:solidFill>
              <a:schemeClr val="accent6"/>
            </a:solidFill>
            <a:ln>
              <a:noFill/>
            </a:ln>
            <a:effectLst/>
          </c:spPr>
          <c:cat>
            <c:numRef>
              <c:f>'Results-Tables'!$C$5:$M$5</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'Results-Tables'!$C$48:$M$48</c:f>
              <c:numCache>
                <c:formatCode>_(* #,##0_);_(* \(#,##0\);_(* "-"??_);_(@_)</c:formatCode>
                <c:ptCount val="11"/>
                <c:pt idx="0">
                  <c:v>271014.61715759855</c:v>
                </c:pt>
                <c:pt idx="1">
                  <c:v>292990.294303064</c:v>
                </c:pt>
                <c:pt idx="2">
                  <c:v>292990.294303064</c:v>
                </c:pt>
                <c:pt idx="3">
                  <c:v>292990.294303064</c:v>
                </c:pt>
                <c:pt idx="4">
                  <c:v>292990.294303064</c:v>
                </c:pt>
                <c:pt idx="5">
                  <c:v>292990.294303064</c:v>
                </c:pt>
                <c:pt idx="6">
                  <c:v>292990.294303064</c:v>
                </c:pt>
                <c:pt idx="7">
                  <c:v>292990.294303064</c:v>
                </c:pt>
                <c:pt idx="8">
                  <c:v>292990.294303064</c:v>
                </c:pt>
                <c:pt idx="9">
                  <c:v>292990.294303064</c:v>
                </c:pt>
                <c:pt idx="10">
                  <c:v>292990.294303064</c:v>
                </c:pt>
              </c:numCache>
            </c:numRef>
          </c:val>
          <c:extLst xmlns:c16r2="http://schemas.microsoft.com/office/drawing/2015/06/chart">
            <c:ext xmlns:c16="http://schemas.microsoft.com/office/drawing/2014/chart" uri="{C3380CC4-5D6E-409C-BE32-E72D297353CC}">
              <c16:uniqueId val="{00000005-197B-4D8D-877B-11877C697448}"/>
            </c:ext>
          </c:extLst>
        </c:ser>
        <c:ser>
          <c:idx val="6"/>
          <c:order val="6"/>
          <c:tx>
            <c:strRef>
              <c:f>'Results-Tables'!$B$50</c:f>
              <c:strCache>
                <c:ptCount val="1"/>
                <c:pt idx="0">
                  <c:v>Other Program Costs</c:v>
                </c:pt>
              </c:strCache>
            </c:strRef>
          </c:tx>
          <c:spPr>
            <a:solidFill>
              <a:schemeClr val="accent1">
                <a:lumMod val="60000"/>
              </a:schemeClr>
            </a:solidFill>
            <a:ln>
              <a:noFill/>
            </a:ln>
            <a:effectLst/>
          </c:spPr>
          <c:cat>
            <c:numRef>
              <c:f>'Results-Tables'!$C$5:$M$5</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'Results-Tables'!$C$50:$M$50</c:f>
              <c:numCache>
                <c:formatCode>_(* #,##0_);_(* \(#,##0\);_(* "-"??_);_(@_)</c:formatCode>
                <c:ptCount val="11"/>
                <c:pt idx="0">
                  <c:v>22715.884989464001</c:v>
                </c:pt>
                <c:pt idx="1">
                  <c:v>27984.781278395847</c:v>
                </c:pt>
                <c:pt idx="2">
                  <c:v>27984.781278395847</c:v>
                </c:pt>
                <c:pt idx="3">
                  <c:v>27984.781278395847</c:v>
                </c:pt>
                <c:pt idx="4">
                  <c:v>27984.781278395847</c:v>
                </c:pt>
                <c:pt idx="5">
                  <c:v>27984.781278395847</c:v>
                </c:pt>
                <c:pt idx="6">
                  <c:v>27984.781278395847</c:v>
                </c:pt>
                <c:pt idx="7">
                  <c:v>27984.781278395847</c:v>
                </c:pt>
                <c:pt idx="8">
                  <c:v>27984.781278395847</c:v>
                </c:pt>
                <c:pt idx="9">
                  <c:v>27984.781278395847</c:v>
                </c:pt>
                <c:pt idx="10">
                  <c:v>27984.781278395847</c:v>
                </c:pt>
              </c:numCache>
            </c:numRef>
          </c:val>
          <c:extLst xmlns:c16r2="http://schemas.microsoft.com/office/drawing/2015/06/chart">
            <c:ext xmlns:c16="http://schemas.microsoft.com/office/drawing/2014/chart" uri="{C3380CC4-5D6E-409C-BE32-E72D297353CC}">
              <c16:uniqueId val="{00000006-197B-4D8D-877B-11877C697448}"/>
            </c:ext>
          </c:extLst>
        </c:ser>
        <c:dLbls>
          <c:showLegendKey val="0"/>
          <c:showVal val="0"/>
          <c:showCatName val="0"/>
          <c:showSerName val="0"/>
          <c:showPercent val="0"/>
          <c:showBubbleSize val="0"/>
        </c:dLbls>
        <c:axId val="86301696"/>
        <c:axId val="86311680"/>
      </c:areaChart>
      <c:catAx>
        <c:axId val="86301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86311680"/>
        <c:crosses val="autoZero"/>
        <c:auto val="1"/>
        <c:lblAlgn val="ctr"/>
        <c:lblOffset val="100"/>
        <c:noMultiLvlLbl val="0"/>
      </c:catAx>
      <c:valAx>
        <c:axId val="86311680"/>
        <c:scaling>
          <c:orientation val="minMax"/>
          <c:max val="2500000"/>
        </c:scaling>
        <c:delete val="0"/>
        <c:axPos val="l"/>
        <c:majorGridlines/>
        <c:numFmt formatCode="&quot;$&quot;#,##0" sourceLinked="0"/>
        <c:majorTickMark val="none"/>
        <c:minorTickMark val="none"/>
        <c:tickLblPos val="nextTo"/>
        <c:spPr>
          <a:noFill/>
          <a:ln>
            <a:noFill/>
          </a:ln>
          <a:effectLst/>
        </c:spPr>
        <c:txPr>
          <a:bodyPr rot="-60000000" vert="horz"/>
          <a:lstStyle/>
          <a:p>
            <a:pPr>
              <a:defRPr b="0">
                <a:solidFill>
                  <a:sysClr val="windowText" lastClr="000000"/>
                </a:solidFill>
              </a:defRPr>
            </a:pPr>
            <a:endParaRPr lang="en-US"/>
          </a:p>
        </c:txPr>
        <c:crossAx val="86301696"/>
        <c:crosses val="autoZero"/>
        <c:crossBetween val="midCat"/>
      </c:valAx>
      <c:spPr>
        <a:solidFill>
          <a:schemeClr val="bg1">
            <a:lumMod val="95000"/>
          </a:schemeClr>
        </a:solidFill>
        <a:ln>
          <a:noFill/>
        </a:ln>
        <a:effectLst/>
      </c:spPr>
    </c:plotArea>
    <c:legend>
      <c:legendPos val="b"/>
      <c:layout>
        <c:manualLayout>
          <c:xMode val="edge"/>
          <c:yMode val="edge"/>
          <c:x val="0"/>
          <c:y val="0.80701539750182516"/>
          <c:w val="0.99990116594132372"/>
          <c:h val="0.19012492012179613"/>
        </c:manualLayout>
      </c:layout>
      <c:overlay val="0"/>
      <c:spPr>
        <a:noFill/>
        <a:ln>
          <a:noFill/>
        </a:ln>
        <a:effectLst/>
      </c:spPr>
      <c:txPr>
        <a:bodyPr rot="0" vert="horz"/>
        <a:lstStyle/>
        <a:p>
          <a:pPr>
            <a:defRPr b="0"/>
          </a:pPr>
          <a:endParaRPr lang="en-US"/>
        </a:p>
      </c:txPr>
    </c:legend>
    <c:plotVisOnly val="1"/>
    <c:dispBlanksAs val="gap"/>
    <c:showDLblsOverMax val="0"/>
  </c:chart>
  <c:spPr>
    <a:noFill/>
    <a:ln w="9525" cap="flat" cmpd="sng" algn="ctr">
      <a:solidFill>
        <a:schemeClr val="tx1"/>
      </a:solidFill>
      <a:round/>
    </a:ln>
    <a:effectLst/>
  </c:spPr>
  <c:txPr>
    <a:bodyPr/>
    <a:lstStyle/>
    <a:p>
      <a:pPr>
        <a:defRPr>
          <a:solidFill>
            <a:sysClr val="windowText" lastClr="000000"/>
          </a:solidFil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Financing!$B$71</c:f>
              <c:strCache>
                <c:ptCount val="1"/>
                <c:pt idx="0">
                  <c:v>UNICEF</c:v>
                </c:pt>
              </c:strCache>
            </c:strRef>
          </c:tx>
          <c:spPr>
            <a:solidFill>
              <a:srgbClr val="8A7967"/>
            </a:solidFill>
          </c:spPr>
          <c:invertIfNegative val="0"/>
          <c:cat>
            <c:numRef>
              <c:f>Financing!$D$4:$N$4</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Financing!$C$71:$N$71</c:f>
              <c:numCache>
                <c:formatCode>_(* #,##0_);_(* \(#,##0\);_(* "-"??_);_(@_)</c:formatCode>
                <c:ptCount val="10"/>
                <c:pt idx="0">
                  <c:v>75000</c:v>
                </c:pt>
                <c:pt idx="1">
                  <c:v>75000</c:v>
                </c:pt>
                <c:pt idx="2">
                  <c:v>75000</c:v>
                </c:pt>
                <c:pt idx="3">
                  <c:v>0</c:v>
                </c:pt>
                <c:pt idx="4">
                  <c:v>0</c:v>
                </c:pt>
                <c:pt idx="5">
                  <c:v>0</c:v>
                </c:pt>
                <c:pt idx="6">
                  <c:v>0</c:v>
                </c:pt>
                <c:pt idx="7">
                  <c:v>0</c:v>
                </c:pt>
                <c:pt idx="8">
                  <c:v>0</c:v>
                </c:pt>
                <c:pt idx="9">
                  <c:v>0</c:v>
                </c:pt>
              </c:numCache>
            </c:numRef>
          </c:val>
        </c:ser>
        <c:ser>
          <c:idx val="1"/>
          <c:order val="1"/>
          <c:tx>
            <c:strRef>
              <c:f>Financing!$B$72</c:f>
              <c:strCache>
                <c:ptCount val="1"/>
                <c:pt idx="0">
                  <c:v>World Bank</c:v>
                </c:pt>
              </c:strCache>
            </c:strRef>
          </c:tx>
          <c:spPr>
            <a:solidFill>
              <a:srgbClr val="788E1E"/>
            </a:solidFill>
          </c:spPr>
          <c:invertIfNegative val="0"/>
          <c:cat>
            <c:numRef>
              <c:f>Financing!$D$4:$N$4</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Financing!$C$72:$N$72</c:f>
              <c:numCache>
                <c:formatCode>_(* #,##0_);_(* \(#,##0\);_(* "-"??_);_(@_)</c:formatCode>
                <c:ptCount val="10"/>
                <c:pt idx="0">
                  <c:v>88037.5</c:v>
                </c:pt>
                <c:pt idx="1">
                  <c:v>88037.5</c:v>
                </c:pt>
                <c:pt idx="2">
                  <c:v>88037.5</c:v>
                </c:pt>
                <c:pt idx="3">
                  <c:v>0</c:v>
                </c:pt>
                <c:pt idx="4">
                  <c:v>0</c:v>
                </c:pt>
                <c:pt idx="5">
                  <c:v>0</c:v>
                </c:pt>
                <c:pt idx="6">
                  <c:v>0</c:v>
                </c:pt>
                <c:pt idx="7">
                  <c:v>0</c:v>
                </c:pt>
                <c:pt idx="8">
                  <c:v>0</c:v>
                </c:pt>
                <c:pt idx="9">
                  <c:v>0</c:v>
                </c:pt>
              </c:numCache>
            </c:numRef>
          </c:val>
        </c:ser>
        <c:ser>
          <c:idx val="2"/>
          <c:order val="2"/>
          <c:tx>
            <c:strRef>
              <c:f>Financing!$B$73</c:f>
              <c:strCache>
                <c:ptCount val="1"/>
                <c:pt idx="0">
                  <c:v>Global Fund</c:v>
                </c:pt>
              </c:strCache>
            </c:strRef>
          </c:tx>
          <c:spPr>
            <a:solidFill>
              <a:srgbClr val="007698"/>
            </a:solidFill>
          </c:spPr>
          <c:invertIfNegative val="0"/>
          <c:cat>
            <c:numRef>
              <c:f>Financing!$D$4:$N$4</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Financing!$C$73:$N$73</c:f>
              <c:numCache>
                <c:formatCode>_(* #,##0_);_(* \(#,##0\);_(* "-"??_);_(@_)</c:formatCode>
                <c:ptCount val="10"/>
                <c:pt idx="0">
                  <c:v>268967.55550000002</c:v>
                </c:pt>
                <c:pt idx="1">
                  <c:v>268967.55550000002</c:v>
                </c:pt>
                <c:pt idx="2">
                  <c:v>268967.55550000002</c:v>
                </c:pt>
                <c:pt idx="3">
                  <c:v>0</c:v>
                </c:pt>
                <c:pt idx="4">
                  <c:v>0</c:v>
                </c:pt>
                <c:pt idx="5">
                  <c:v>0</c:v>
                </c:pt>
                <c:pt idx="6">
                  <c:v>0</c:v>
                </c:pt>
                <c:pt idx="7">
                  <c:v>0</c:v>
                </c:pt>
                <c:pt idx="8">
                  <c:v>0</c:v>
                </c:pt>
                <c:pt idx="9">
                  <c:v>0</c:v>
                </c:pt>
              </c:numCache>
            </c:numRef>
          </c:val>
        </c:ser>
        <c:ser>
          <c:idx val="3"/>
          <c:order val="3"/>
          <c:tx>
            <c:strRef>
              <c:f>Financing!$B$74</c:f>
              <c:strCache>
                <c:ptCount val="1"/>
                <c:pt idx="0">
                  <c:v>DFID</c:v>
                </c:pt>
              </c:strCache>
            </c:strRef>
          </c:tx>
          <c:spPr>
            <a:solidFill>
              <a:srgbClr val="004730"/>
            </a:solidFill>
          </c:spPr>
          <c:invertIfNegative val="0"/>
          <c:cat>
            <c:numRef>
              <c:f>Financing!$D$4:$N$4</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Financing!$C$74:$N$74</c:f>
              <c:numCache>
                <c:formatCode>_(* #,##0_);_(* \(#,##0\);_(* "-"??_);_(@_)</c:formatCode>
                <c:ptCount val="10"/>
                <c:pt idx="0">
                  <c:v>440000</c:v>
                </c:pt>
                <c:pt idx="1">
                  <c:v>440000</c:v>
                </c:pt>
                <c:pt idx="2">
                  <c:v>440000</c:v>
                </c:pt>
                <c:pt idx="3">
                  <c:v>0</c:v>
                </c:pt>
                <c:pt idx="4">
                  <c:v>0</c:v>
                </c:pt>
                <c:pt idx="5">
                  <c:v>0</c:v>
                </c:pt>
                <c:pt idx="6">
                  <c:v>0</c:v>
                </c:pt>
                <c:pt idx="7">
                  <c:v>0</c:v>
                </c:pt>
                <c:pt idx="8">
                  <c:v>0</c:v>
                </c:pt>
                <c:pt idx="9">
                  <c:v>0</c:v>
                </c:pt>
              </c:numCache>
            </c:numRef>
          </c:val>
        </c:ser>
        <c:ser>
          <c:idx val="4"/>
          <c:order val="4"/>
          <c:tx>
            <c:strRef>
              <c:f>Financing!$B$75</c:f>
              <c:strCache>
                <c:ptCount val="1"/>
                <c:pt idx="0">
                  <c:v>GOSL and JSI/USAID</c:v>
                </c:pt>
              </c:strCache>
            </c:strRef>
          </c:tx>
          <c:spPr>
            <a:solidFill>
              <a:srgbClr val="E36F1E"/>
            </a:solidFill>
          </c:spPr>
          <c:invertIfNegative val="0"/>
          <c:cat>
            <c:numRef>
              <c:f>Financing!$D$4:$N$4</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Financing!$C$75:$N$75</c:f>
              <c:numCache>
                <c:formatCode>_(* #,##0_);_(* \(#,##0\);_(* "-"??_);_(@_)</c:formatCode>
                <c:ptCount val="10"/>
                <c:pt idx="0">
                  <c:v>39372.639999999999</c:v>
                </c:pt>
                <c:pt idx="1">
                  <c:v>39372.639999999999</c:v>
                </c:pt>
                <c:pt idx="2">
                  <c:v>39372.639999999999</c:v>
                </c:pt>
                <c:pt idx="3">
                  <c:v>0</c:v>
                </c:pt>
                <c:pt idx="4">
                  <c:v>0</c:v>
                </c:pt>
                <c:pt idx="5">
                  <c:v>0</c:v>
                </c:pt>
                <c:pt idx="6">
                  <c:v>0</c:v>
                </c:pt>
                <c:pt idx="7">
                  <c:v>0</c:v>
                </c:pt>
                <c:pt idx="8">
                  <c:v>0</c:v>
                </c:pt>
                <c:pt idx="9">
                  <c:v>0</c:v>
                </c:pt>
              </c:numCache>
            </c:numRef>
          </c:val>
        </c:ser>
        <c:ser>
          <c:idx val="5"/>
          <c:order val="5"/>
          <c:tx>
            <c:strRef>
              <c:f>Financing!$B$76</c:f>
              <c:strCache>
                <c:ptCount val="1"/>
                <c:pt idx="0">
                  <c:v>MOHS</c:v>
                </c:pt>
              </c:strCache>
            </c:strRef>
          </c:tx>
          <c:spPr>
            <a:solidFill>
              <a:srgbClr val="B41E39"/>
            </a:solidFill>
          </c:spPr>
          <c:invertIfNegative val="0"/>
          <c:cat>
            <c:numRef>
              <c:f>Financing!$D$4:$N$4</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Financing!$C$76:$N$76</c:f>
              <c:numCache>
                <c:formatCode>_(* #,##0_);_(* \(#,##0\);_(* "-"??_);_(@_)</c:formatCode>
                <c:ptCount val="10"/>
                <c:pt idx="0">
                  <c:v>129089.15142321764</c:v>
                </c:pt>
                <c:pt idx="1">
                  <c:v>129089.15142321764</c:v>
                </c:pt>
                <c:pt idx="2">
                  <c:v>129089.15142321764</c:v>
                </c:pt>
                <c:pt idx="3">
                  <c:v>129089.15142321764</c:v>
                </c:pt>
                <c:pt idx="4">
                  <c:v>129089.15142321764</c:v>
                </c:pt>
                <c:pt idx="5">
                  <c:v>129089.15142321764</c:v>
                </c:pt>
                <c:pt idx="6">
                  <c:v>129089.15142321764</c:v>
                </c:pt>
                <c:pt idx="7">
                  <c:v>129089.15142321764</c:v>
                </c:pt>
                <c:pt idx="8">
                  <c:v>129089.15142321764</c:v>
                </c:pt>
                <c:pt idx="9">
                  <c:v>129089.15142321764</c:v>
                </c:pt>
              </c:numCache>
            </c:numRef>
          </c:val>
        </c:ser>
        <c:ser>
          <c:idx val="6"/>
          <c:order val="6"/>
          <c:tx>
            <c:strRef>
              <c:f>Financing!$B$77</c:f>
              <c:strCache>
                <c:ptCount val="1"/>
                <c:pt idx="0">
                  <c:v>0</c:v>
                </c:pt>
              </c:strCache>
            </c:strRef>
          </c:tx>
          <c:invertIfNegative val="0"/>
          <c:cat>
            <c:numRef>
              <c:f>Financing!$D$4:$N$4</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Financing!$C$77:$N$77</c:f>
            </c:numRef>
          </c:val>
        </c:ser>
        <c:ser>
          <c:idx val="7"/>
          <c:order val="7"/>
          <c:tx>
            <c:strRef>
              <c:f>Financing!$B$78</c:f>
              <c:strCache>
                <c:ptCount val="1"/>
                <c:pt idx="0">
                  <c:v>0</c:v>
                </c:pt>
              </c:strCache>
            </c:strRef>
          </c:tx>
          <c:invertIfNegative val="0"/>
          <c:cat>
            <c:numRef>
              <c:f>Financing!$D$4:$N$4</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Financing!$C$78:$N$78</c:f>
            </c:numRef>
          </c:val>
        </c:ser>
        <c:ser>
          <c:idx val="8"/>
          <c:order val="8"/>
          <c:tx>
            <c:strRef>
              <c:f>Financing!$B$79</c:f>
              <c:strCache>
                <c:ptCount val="1"/>
                <c:pt idx="0">
                  <c:v>0</c:v>
                </c:pt>
              </c:strCache>
            </c:strRef>
          </c:tx>
          <c:invertIfNegative val="0"/>
          <c:cat>
            <c:numRef>
              <c:f>Financing!$D$4:$N$4</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Financing!$C$79:$N$79</c:f>
            </c:numRef>
          </c:val>
        </c:ser>
        <c:ser>
          <c:idx val="9"/>
          <c:order val="9"/>
          <c:tx>
            <c:strRef>
              <c:f>Financing!$B$80</c:f>
              <c:strCache>
                <c:ptCount val="1"/>
                <c:pt idx="0">
                  <c:v>0</c:v>
                </c:pt>
              </c:strCache>
            </c:strRef>
          </c:tx>
          <c:invertIfNegative val="0"/>
          <c:cat>
            <c:numRef>
              <c:f>Financing!$D$4:$N$4</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Financing!$C$80:$N$80</c:f>
            </c:numRef>
          </c:val>
        </c:ser>
        <c:ser>
          <c:idx val="11"/>
          <c:order val="10"/>
          <c:tx>
            <c:strRef>
              <c:f>Financing!$B$81</c:f>
              <c:strCache>
                <c:ptCount val="1"/>
                <c:pt idx="0">
                  <c:v>Funding Gap</c:v>
                </c:pt>
              </c:strCache>
            </c:strRef>
          </c:tx>
          <c:spPr>
            <a:solidFill>
              <a:srgbClr val="C2A204"/>
            </a:solidFill>
          </c:spPr>
          <c:invertIfNegative val="0"/>
          <c:cat>
            <c:numRef>
              <c:f>Financing!$D$4:$N$4</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Financing!$C$81:$N$81</c:f>
              <c:numCache>
                <c:formatCode>_(* #,##0_);_(* \(#,##0\);_(* "-"??_);_(@_)</c:formatCode>
                <c:ptCount val="10"/>
                <c:pt idx="0">
                  <c:v>1778486.4670677383</c:v>
                </c:pt>
                <c:pt idx="1">
                  <c:v>584729.38968770066</c:v>
                </c:pt>
                <c:pt idx="2">
                  <c:v>776505.8378593449</c:v>
                </c:pt>
                <c:pt idx="3">
                  <c:v>1882021.4951003054</c:v>
                </c:pt>
                <c:pt idx="4">
                  <c:v>2098399.5558830425</c:v>
                </c:pt>
                <c:pt idx="5">
                  <c:v>2104485.9018270262</c:v>
                </c:pt>
                <c:pt idx="6">
                  <c:v>2100856.7471005847</c:v>
                </c:pt>
                <c:pt idx="7">
                  <c:v>2132756.7379927812</c:v>
                </c:pt>
                <c:pt idx="8">
                  <c:v>2161587.5615954902</c:v>
                </c:pt>
                <c:pt idx="9">
                  <c:v>2191955.2371840491</c:v>
                </c:pt>
              </c:numCache>
            </c:numRef>
          </c:val>
        </c:ser>
        <c:dLbls>
          <c:showLegendKey val="0"/>
          <c:showVal val="0"/>
          <c:showCatName val="0"/>
          <c:showSerName val="0"/>
          <c:showPercent val="0"/>
          <c:showBubbleSize val="0"/>
        </c:dLbls>
        <c:gapWidth val="150"/>
        <c:overlap val="100"/>
        <c:axId val="86368256"/>
        <c:axId val="86369792"/>
      </c:barChart>
      <c:catAx>
        <c:axId val="86368256"/>
        <c:scaling>
          <c:orientation val="minMax"/>
        </c:scaling>
        <c:delete val="0"/>
        <c:axPos val="b"/>
        <c:numFmt formatCode="General" sourceLinked="1"/>
        <c:majorTickMark val="out"/>
        <c:minorTickMark val="none"/>
        <c:tickLblPos val="nextTo"/>
        <c:txPr>
          <a:bodyPr/>
          <a:lstStyle/>
          <a:p>
            <a:pPr>
              <a:defRPr>
                <a:latin typeface="+mn-lt"/>
              </a:defRPr>
            </a:pPr>
            <a:endParaRPr lang="en-US"/>
          </a:p>
        </c:txPr>
        <c:crossAx val="86369792"/>
        <c:crosses val="autoZero"/>
        <c:auto val="1"/>
        <c:lblAlgn val="ctr"/>
        <c:lblOffset val="100"/>
        <c:noMultiLvlLbl val="0"/>
      </c:catAx>
      <c:valAx>
        <c:axId val="86369792"/>
        <c:scaling>
          <c:orientation val="minMax"/>
        </c:scaling>
        <c:delete val="0"/>
        <c:axPos val="l"/>
        <c:majorGridlines/>
        <c:numFmt formatCode="&quot;$&quot;#,##0" sourceLinked="0"/>
        <c:majorTickMark val="out"/>
        <c:minorTickMark val="none"/>
        <c:tickLblPos val="nextTo"/>
        <c:txPr>
          <a:bodyPr/>
          <a:lstStyle/>
          <a:p>
            <a:pPr>
              <a:defRPr>
                <a:latin typeface="+mn-lt"/>
              </a:defRPr>
            </a:pPr>
            <a:endParaRPr lang="en-US"/>
          </a:p>
        </c:txPr>
        <c:crossAx val="86368256"/>
        <c:crosses val="autoZero"/>
        <c:crossBetween val="between"/>
      </c:valAx>
      <c:spPr>
        <a:solidFill>
          <a:schemeClr val="bg1">
            <a:lumMod val="95000"/>
          </a:schemeClr>
        </a:solidFill>
      </c:spPr>
    </c:plotArea>
    <c:legend>
      <c:legendPos val="r"/>
      <c:layout>
        <c:manualLayout>
          <c:xMode val="edge"/>
          <c:yMode val="edge"/>
          <c:x val="0.71945423419410348"/>
          <c:y val="0.12866381176037206"/>
          <c:w val="0.27222629825182004"/>
          <c:h val="0.6767874015748031"/>
        </c:manualLayout>
      </c:layout>
      <c:overlay val="0"/>
      <c:txPr>
        <a:bodyPr/>
        <a:lstStyle/>
        <a:p>
          <a:pPr>
            <a:defRPr>
              <a:latin typeface="+mn-lt"/>
            </a:defRPr>
          </a:pPr>
          <a:endParaRPr lang="en-US"/>
        </a:p>
      </c:txPr>
    </c:legend>
    <c:plotVisOnly val="1"/>
    <c:dispBlanksAs val="gap"/>
    <c:showDLblsOverMax val="0"/>
  </c:chart>
  <c:spPr>
    <a:ln>
      <a:solidFill>
        <a:schemeClr val="tx1"/>
      </a:solidFill>
    </a:ln>
  </c:spPr>
  <c:txPr>
    <a:bodyPr/>
    <a:lstStyle/>
    <a:p>
      <a:pPr>
        <a:defRPr baseline="0">
          <a:latin typeface="Gill Sans MT" panose="020B0502020104020203"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9C805E-C2AF-471B-A1E0-CA11A7843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2947</Words>
  <Characters>16801</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MSH</Company>
  <LinksUpToDate>false</LinksUpToDate>
  <CharactersWithSpaces>19709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Traphael</dc:creator>
  <cp:lastModifiedBy>Sarah Crass</cp:lastModifiedBy>
  <cp:revision>2</cp:revision>
  <dcterms:created xsi:type="dcterms:W3CDTF">2016-11-11T17:31:00Z</dcterms:created>
  <dcterms:modified xsi:type="dcterms:W3CDTF">2016-11-11T17:31:00Z</dcterms:modified>
</cp:coreProperties>
</file>